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ATAS/13/2019 vom 14. Januar 2019</w:t>
      </w:r>
    </w:p>
    <w:p>
      <w:r>
        <w:t>GE Cour de justice, 2019-01-14, FR</w:t>
      </w:r>
    </w:p>
    <w:p>
      <w:r>
        <w:rPr>
          <w:b/>
        </w:rPr>
        <w:t xml:space="preserve">Quelle: </w:t>
      </w:r>
      <w:r>
        <w:t>https://mcp.opencaselaw.ch/entscheid/ge_gerichte_ATAS_13_2019</w:t>
      </w:r>
    </w:p>
    <w:p>
      <w:r>
        <w:t>FR: GE_GERICHTE ATAS/13/2019 du 14 janvier 2019</w:t>
      </w:r>
    </w:p>
    <w:p>
      <w:r>
        <w:t>IT: GE_GERICHTE ATAS/13/2019 del 14 gennaio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du recourant à une rente d'invalidité selon la LAA, singulièrement sur son taux d'invalidité, et sur son droit à une indemnité pour IPAI, singulièrement le taux à retenir pour la fixation de cette indemnité.</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En cas d’atteinte à la santé due à un accident, l’assureur-accidents prend en charge les prestations suivantes : le traitement médical (art. 10ss LAA), les indemnités journalières (art. 16ss LAA), la rente d’invalidité (art. 18 ss LAA) et l’indemnité pour atteinte à l’intégrité (art. 24 ss LAA).</w:t>
      </w:r>
    </w:p>
    <w:p>
      <w:r>
        <w:t>A/734/2018 - 12/28 -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Selon l’art. 19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(art. 19 al. 1 LAA). Enfin,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En résumé,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relais et remplace les indemnités journalières et le traitement médical (KIESER, ATSG-Kommentar, 2015, n° 46 ad Art. 6 LPGA ; voir également art. 10, 16 et 19 LAA). A noter qu’en cas d’incapacité de travail de longue durée, l’activité qui peut être exigée de lui peut aussi relever d’une autre profession ou d’un autre domaine d’activité (art. 6 in fine LPGA). b. L'assuré invalide (art. 8 LPGA) à 10% au moins par suite d'accident a droit à une rente d'invalidité (art. 18 al. 1 LAA). Selon l’art. 8 al. 1 LPGA auquel l’art. 18 al. 1 LAA renvoie, est réputée invalidité l'incapacité de gain totale ou partielle qui est présumée permanente ou de longue durée. Par incapacité de gain, il faut entendre, aux termes de l’art. 7 al. 1 LPGA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A/734/2018 - 13/28 -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t>A/734/2018 - 14/28 -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Cependant, le simple fait qu'un certificat médical est établi à la demande d'une partie et produit pendant la procédure ne justifie pas, en soi, des doutes quant à sa valeur probante. Selon la jurisprudence, une expertise présentée par une partie n'a pas la même valeur que des expertises mises en œuvre par un tribunal ou par l'administration conformément aux règles de procédure applicables (arrêt du Tribunal fédéral 8C_558/2008 du 17 mars 2009 consid. 2.4.1). Toutefois, une expertise présentée par une partie peut également valoir comme moyen de preuve. Le juge est donc tenu d'examiner si elle est propre à mettre en doute, sur les points litigieux importants, l'opinion ou les conclusions de l'expert mandaté par le tribunal, l'assureur-accidents ou un office AI (ATF 125 V 351 consid. 3c; arrêt du Tribunal fédéral 8C_658/2008 du 23 mars 2009 consid. 3.3.1).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w:t>
      </w:r>
    </w:p>
    <w:p>
      <w:r>
        <w:t>A/734/2018 - 15/28 -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w:t>
      </w:r>
    </w:p>
    <w:p>
      <w:r>
        <w:t>A/734/2018 - 16/28 - (ATF 117 V 283 consid. 4a; RAMA 1985 p. 240 consid. 4; arrêt du Tribunal fédéral des assurances I 751/03 du 19 mars 2004 consid. 3.3).</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l'espèce, la décision entreprise se fonde sur l'appréciation médicale de la Dresse F______, spécialiste FMH en chirurgie générale et traumatologie, membre du centre de compétences de médecine des assurances de la CNA, qui s'est prononcée sur ce dossier et en particulier au sujet du rapport d'expertise privée du Dr E______, produit par l'assuré à l'appui de son opposition. Dans le cadre du recours, l'assuré considère que l'avis de ce dernier doit être préféré à celui du médecin de l'assurance-accidents. Il y a lieu, dès lors, au vu de la jurisprudence précitée, de déterminer si l'avis du médecin de l'intimée peut se voir reconnaître une pleine valeur probante. Il est constant que l'appréciation médicale de la spécialiste de l'intimée est fondée sur la seule base du dossier de la CNA. Selon la jurisprudence, une expertise médicale effectuée uniquement sur la base d’un dossier peut se voir reconnaître une pleine valeur probante (arrêt du Tribunal fédéral 8C_681/2011 du 27 juin 2012 consid. 4.1 et les références),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Tel est le cas en l'espèce. Ce rapport, établi par un spécialiste, est fondé sur l'étude fouillée du dossier, l'anamnèse détaillée qui s'y trouve consignée, une parfaite connaissance de l'évolution du cas depuis l'accident, diverses appréciations médicales se fondant quant à elles sur l'examen personnel de l'assuré, notamment la plus récente, soit l'évaluation du Dr E______. Les conclusions de la Dresse F______ sont cohérentes, sérieusement motivées, et ne contiennent pas de contradictions; aucun indice concret ne permet de mettre en cause leur bien-fondé. La spécialiste a notamment expliqué dans le détail les raisons pour lesquelles elle s'écartait, le cas échéant, des conclusions de ses confrères, que ce soit du médecin d'arrondissement ayant précédemment examiné l'assuré et procédé à des appréciations médicales à plusieurs étapes de l'instruction du dossier par l'administration, ou encore du Dr</w:t>
      </w:r>
    </w:p>
    <w:p>
      <w:r>
        <w:t>A/734/2018 - 17/28 - E______. De même a-t-elle indiqué les raisons pour lesquelles elle rejoignait – partiellement - l'avis du Dr E______. La chambre de céans considère dès lors que l'appréciation médicale de la Dresse F______ remplit toutes les conditions jurisprudentielles requises pour que puisse lui être attribuée une pleine valeur probante – même si ces conditions sont restrictives, s'agissant d'une procédure portant sur l'octroi ou le refus de prestations d'assurances sociales, dont la décision administrative s'appuie exclusivement sur l'appréciation d'un médecin interne à l'assureur social. Il est indéniable en effet que le Dr E______ est un spécialiste reconnu, dont l'avis peut également se voir attribuer un caractère probant: toutefois en l'espèce il ne laisse pas subsister des doutes suffisants quant à la fiabilité et la pertinence de l'appréciation de la Dresse F______, comme on le verra dans le détail par rapport aux arguments et griefs soulevés par le recourant.</w:t>
      </w:r>
    </w:p>
    <w:p>
      <w:r>
        <w:rPr>
          <w:b/>
        </w:rPr>
        <w:t>E. 13</w:t>
      </w:r>
    </w:p>
    <w:p>
      <w:r>
        <w:t>Dans ces conditions, la chambre de céans estime qu'il n'est pas nécessaire de procéder préalablement, comme y conclut le recourant, à l'audition du Dr E______, et pas davantage à une expertise médicale sur la question des limitations fonctionnelles et du taux d'IPAI.</w:t>
      </w:r>
    </w:p>
    <w:p>
      <w:r>
        <w:rPr>
          <w:b/>
        </w:rPr>
        <w:t>E. 14</w:t>
      </w:r>
    </w:p>
    <w:p>
      <w:r>
        <w:t>On rappellera que la décision sur opposition du 30 janvier 2018 admet partiellement l'opposition interjetée par l'assuré qui contestait l'octroi d'une rente d'invalidité de seulement 20 % et d'une IPAI de 5 %. Se fondant sur l'appréciation de la Dresse F______ qui admettait partiellement l'avis du Dr E______, la CNA a légèrement augmenté le taux de la rente d'invalidité allouée, en le portant à 21 %, et en portant le taux de l'IPAI à 7,5 %. Le recourant estime pour sa part que, conformément à l'évaluation de son expert privé, le taux de la rente d'invalidité aurait dû être porté à 35 %, et le taux de l'IPAI à 20 %. Il y a dès lors lieu d'examiner dans un premier temps ce qu'il en est du taux de l'IPAI, et dans un deuxième temps, si le taux d'invalidité fixé sur opposition par l'intimée était justifié, ou si au contraire, comme le soutient le recourant, il aurait dû être porté à un taux supérieur, le cas échéant à 35 % comme il y conclut.</w:t>
      </w:r>
    </w:p>
    <w:p>
      <w:r>
        <w:rPr>
          <w:b/>
        </w:rPr>
        <w:t>E. 15</w:t>
      </w:r>
    </w:p>
    <w:p>
      <w:r>
        <w:t>S'agissant du taux de l'IPAI: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L’indemnité pour atteinte à l’intégrité est</w:t>
      </w:r>
    </w:p>
    <w:p>
      <w:r>
        <w:t>A/734/2018 - 18/28 - calculée selon les directives figurant à l’annexe 3 (art. 36 al. 2 de l’ordonnance sur l'assurance-accidents du 20 décembre 1982 [OLAA - RS 832.202]). b.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Ainsi, à titre d'exemple, selon le barème des atteintes à l’intégrité figurant à l’annexe 3 OLAA, la perte d’une jambe au niveau du genou correspond à une atteinte à l’intégrité de 40%; lorsque la jambe est amputée au-dessus du genou, l’atteinte à l’intégrité est de 50%; la perte d’un bras au niveau du coude ou en dessus est de 50%. c.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ATF 116 V 156 consid. 3). Parmi d'autres, la table 1 concerne l'atteinte résultant de troubles fonctionnels des membres supérieurs. La table 3 concerne l'atteinte résultant de la perte d'un ou plusieurs segments des membres supérieurs. La table 5 concerne l'atteinte résultant d'arthroses. d. En l'espèce, il est admis que des suites de son accident, le recourant se plaint d'un manque de force et de douleurs survenant lors de la sollicitation de son membre supérieur droit et un déficit en supination de 20° avec une flexion-extension symétrique. Le Dr E______ considère en substance que, selon l'OLAA, la perte d'un bras au niveau du coude ou au-dessus équivaut à un 50% d'atteinte à l'intégrité physique (ndr. table 3). Dans ce cas-là, il n'y a pas de perte complète du coude ni des parties en aval. En revanche, le patient est extrêmement invalidé au quotidien, tant professionnellement que dans les actes de la vie quotidienne, à cause des séquelles de son accident au membre supérieur droit. Il estime donc que l'on pourrait admettre le préjudice à un 20 % d'atteinte à l'intégrité corporelle. Selon les tables de la CNA, un coude mobile entre 0-90-135° équivaut à 10 % d'atteinte à l'intégrité (ndr. table 1). On a par ailleurs une perte partielle de 20° de la supination (perte complète équivalente à 10 %) : soit un 20/80 (valeur moyenne pour la supination), donc 25 % de perte de supination, ce qui équivaudrait à 2,5 % supplémentaires, donc 12,5 %. En pondérant les deux tables, il estime l'atteinte à l'intégrité à environ 20 %. La Dresse F______ estime, à juste titre, que l'on ne peut, comme le fait son confrère, se référer à la table 3 du barème d'indemnisation des</w:t>
      </w:r>
    </w:p>
    <w:p>
      <w:r>
        <w:t>A/734/2018 - 19/28 - atteintes à l'intégrité selon la LAA, qui concerne la perte d'un membre totale ou partielle. Elle remarque à juste titre que le recourant n'a perdu ni son coude, ni son avant-bras, ni son poignet, ni sa main : il présente une perte de force et un déficit de supination qui ne peuvent être comparées à une perte d'un membre supérieur, même partielle. Elle rappelle en effet que l'assuré exerce à nouveau sa profession antérieure de maçon, certes avec certaines limitations quant au port de charges. Quant à l'utilisation de la table 1 du même barème d'indemnisation, qui concerne les troubles fonctionnels des membres supérieurs, - à laquelle se réfère le Dr E______ , elle l'estime peu pertinente : elle observe en effet que l'assuré n'a un coude ni bloqué en extension ni à 30° ni à 90°, tout comme il n'a pas de déficit de flexion ou d'extension ; par contre il présente un déficit de supination de 20°, qui peut être considéré comme minime, et pour lequel elle pourrait retenir tout au plus un 2,5 %. Procédant à sa propre évaluation, elle compare plutôt l'état du coude de l'assuré comme similaire à une arthrose moyenne du coude, dès lors qu'en présence d'une arthrose moyenne, il y a diminution de la force, due aux douleurs avec ou sans diminution des amplitudes articulaires. Or, selon la table 5 du barème d'indemnisation, un taux de 5 à 10 % est retenu en cas d'arthrose moyenne. Elle estime dès lors justifié d'arrêter, dans le cas du recourant, un taux de 7,5 %, taux moyen. Elle estime en conclusion que suite à la pondération des tables 1 et 5, il faut retenir chez le recourant une indemnité pour atteinte à l'intégrité au taux de 7,5 %. Le recourant soutient le point de vue de son expert privé, en remarquant que la Dresse F______ évoque comme "lésion principale" du patient une « perte de la force de son coude droit », et il relève à ce sujet que cela n'a aucun sens, dès lors que le coude qui n'est pas un muscle ne produit pas de force. Il reconnaît toutefois que s'il existe effectivement une limitation de la mobilité du coude, la problématique de la perte de force concerne l'ensemble du bras droit, et en particulier un manque de force au niveau du biceps brachial. Contrairement à ce que le recourant suggère, la Dresse F______ ne fait, au passage incriminé, que situer la partie prépondérante du membre supérieur droit où se pose l'essentiel de la problématique rencontrée chez le recourant. Si l'on s'en tient en effet aux expressions utilisées, on pourrait également objecter au recourant qu'une perte de force n'est pas une « lésion principale ». Il tombe sous le sens que l'on ne saurait réduire l'appréciation du spécialiste de l'intimée à cette seule expression, mais qu'il faut au contraire la situer dans le contexte global de son appréciation médicale, laquelle n'a évidemment pas ignoré, dans ce contexte, l'atteinte du biceps brachial, source évidente de la perte de force dont il est question : reprenant en effet, en page 6 de son rapport, les constatations du Dr E______ - illustrées par des photographies - elle le cite : « Au membre supérieur droit on note une importante déformation du bras droit (cf images en copie). Les cicatrices nombreuses de l'épaule, bras et avant-bras sont calmes. On note une ascension proximale du biceps brachial, suggestif d'une rupture distale. La flexion du coude est symétrique des deux côtés. La prosupination est partielle à droite avec un déficit actif de 20° en supination. La force mesurée pour le biceps brachial droit est de 6,8 kg contre</w:t>
      </w:r>
    </w:p>
    <w:p>
      <w:r>
        <w:t>A/734/2018 - 20/28 - 25,2 kg à gauche. Il existe une hyposensibilité sur la face dorsale des extensions du poignet à droite.… ». Et citant ensuite un extrait de la discussion du cas par le Dr E______, la Dresse F______ reprend les termes de son confrère qui indique à ce stade, selon la littérature à laquelle il se réfère : «… Il existe également une perte de force et d'endurance de 30 % au testing de la flexion du coude. » Fort de ce qui précède, les conclusions de la Dresse F______ sont convaincantes et son évaluation de l'atteinte à l'intégrité physique du recourant traduit de façon beaucoup plus pertinente la réalité et l'ampleur de l'atteinte à indemniser. On relèvera au demeurant qu'en termes de pondération des tables appliquées, les deux médecins ont procédé de la même manière, en conservant chacun au final la valeur supérieure (Dr E______: 20 % + 12,5 % = 20 % après pondération ; Dresse F______ : 7,5 % + 2,5 % = 7,5 % après pondération). C'est ainsi à juste titre que l'intimé a retenu dans la décision sur opposition un taux de 7,5 % pour l'IPAI.</w:t>
      </w:r>
    </w:p>
    <w:p>
      <w:r>
        <w:rPr>
          <w:b/>
        </w:rPr>
        <w:t>E. 16</w:t>
      </w:r>
    </w:p>
    <w:p>
      <w:r>
        <w:t>Le recourant conteste également le degré d’invalidité retenu par l’intimé.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128 V 29 consid. 1, 104 V 135 consid. 2a et 2b).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w:t>
      </w:r>
    </w:p>
    <w:p>
      <w:r>
        <w:t>A/734/2018 - 21/28 -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Cette manière de faire impose donc à l'assureur-accidents de donner tous les informations et les détails sur les DPT dans la décision initiale. Lorsque tel n’a pas été le cas et que le détail du calcul du revenu d'invalide a été communiqué pour la première fois à l'assuré dans la décision sur opposition, il y a lieu de considérer que la violation du droit d’être entendu a été réparée en procédure cantonale lorsque l’assuré a recouru contre cette décision et a pu faire valoir tous ses arguments en procédure cantonale (arrêt du Tribunal fédéral 8C_408/2014. du 23 mars 2015 consid. 6.3). Il appartient à la juridiction cantonale d’examiner si les DPT produites par la CNA satisfont aux conditions posées par la jurisprudence ou, sinon, soit de renvoyer la cause à celle-ci pour compléter son enquête économique, soit de procéder elle- même à la détermination du revenu d’invalide sur la base des données statistiques issues de l’enquête suisse sur la structure des salaires (ESS) (arrêt du Tribunal fédéral 8C_199/2017 du 6 février 2018 consid. 5.2 ; voir également l’arrêt du Tribunal fédéral 8C_898/2015 du 13 juin 2016).</w:t>
      </w:r>
    </w:p>
    <w:p>
      <w:r>
        <w:rPr>
          <w:b/>
        </w:rPr>
        <w:t>E. 17</w:t>
      </w:r>
    </w:p>
    <w:p>
      <w:r>
        <w:t>En l’espèce, le recourant conteste en premier lieu l’application des DPT. Il y a lieu d’examiner si c’est à bon droit que l’intimée s’est fondée sur lesdites DPT. A l'appui de sa décision initiale (24 novembre 2016), l'intimée avait retenu cinq postes dans le canton de Genève : les DPT 490425 (chauffeur-livreur), 490466 (boîtier-polisseur dans l'horlogerie), 345013 (employé de parking - agent du stationnement), 12845560 (agent d'expédition) et 10412 (conducteur de véhicules utilitaires). Ces DPT ont été établies en fonction des conditions salariales valables</w:t>
      </w:r>
    </w:p>
    <w:p>
      <w:r>
        <w:t>A/734/2018 - 22/28 - en 2016, année de l’ouverture du droit à la rente. La moyenne salariale de ces DPT était de CHF 65'680,60. Se fondant sur l'appréciation du Dr E______, au sujet de l'adaptation des cinq DPT retenues, l'assuré faisait valoir sur opposition que 2 de ces 5 DPT n'étaient pas exigibles de sa part: en l'occurrence, celui de boîtier-polisseur (le médecin susnommé objectant le type d'atteinte [avant-bras droit] et le travail répétitif) et celui d'agent d'expédition (en raison de la nécessité d'utiliser régulièrement les deux membres supérieurs, notamment en motricité fine et rotation régulière des mains). En revanche, selon le Dr E______, le travail de chauffeur-livreur, respectivement d'employé de parking et de conducteur de véhicules utilitaires étaient possibles à 100 %. Sur opposition l’intimée, tenant compte des objections de l'assuré, respectivement des remarques du Dr E______ au sujet des limitations fonctionnelles à retenir, la Dresse F______ en ayant partiellement tenu compte, pour considérer en définitive que l'assuré pouvait mettre à profit une pleine capacité de travail dans une profession adaptée à son handicap, soit en évitant le port de charges d'un poids supérieur à 7 kg et les mouvements répétitifs de flexion-extension du coude, l'intimée a procédé à une nouvelle recherche de DPT pour retenir cinq postes dans le canton de Genève: les DPT 799 (surveillant de magasin), 3631 (sertisseur en bijouterie), 345013 (employé de parking - agent du stationnement) 662598 (téléphoniste-réceptionniste) 10412 (conducteur de véhicules utilitaires). Ces DPT ont été établies en fonction des conditions salariales valables en 2016, année de l’ouverture du droit à la rente. Ce faisant, la CNA a ainsi repris 2 des 5 DPT initiaux, (employé de parking et conducteur de véhicules utilitaires), et retenu trois DPT nouvelles. La moyenne salariale de ces DPT était de CHF 64'846,20. Sur recours, l'assuré objecte que l'intimée a remplacé la DPT 490425 (chauffeur- livreur) qui n'était pas contestée, par une DPT 662598 (téléphoniste-réceptionniste) dont le salaire moyen mensuel est supérieur de près de CHF 2'000.-. Il estime que cette rocade n'était pas justifiée, et que ce poste, dans le domaine des services et de l'administration, exigeant un CFC que le recourant n'a pas, n'est pas adapté à un homme sans formation exerçant la profession de maçon, et étant de langue maternelle étrangère. Au surplus, ce poste exigeait d'effectuer des tâches de motricité fine très souvent, incompatible avec ses limitations fonctionnelles. Il objecte également que l'intimée ait retenu un poste de sertisseur (DPT 3631), tout aussi inadapté que l'ancien poste de boîtier-polisseur, abandonné par la CNA. Il considère au surplus que le poste d'employé de parking (repris de la sélection initiale), s'il n'apparaît pas d'emblée totalement inadapté, ne peut pas être retenu comme a priori compatible avec une exigibilité complète en temps et en rendement, compte tenu des remarques qu'avait faites le Dr E______ en raison des activités de motricité fine et de travaux en rotation de la main (quoique limitées). Il considère enfin que le poste de conducteur de véhicules utilitaires - transport de personnes - (repris de la sélection initiale) pose également problème, à l'instar de celui</w:t>
      </w:r>
    </w:p>
    <w:p>
      <w:r>
        <w:t>A/734/2018 - 23/28 - d'employé de parking, exigeant des travaux en rotation de la main très souvent. Il conclut en définitive que sur opposition également, les DPT retenus par l'intimée sont inadéquates, de sorte que l'intimée ne pouvant se fonder sur ce système de comparaison des revenus, devait se baser sur les données statistiques (ESS). L'intimée estime au contraire que les DPT retenues dans le cadre de la décision sur opposition, sont parfaitement adaptées aux limitations fonctionnelles retenues par la Dresse F______. L'intimée avait ainsi correctement calculé le revenu d'invalidité du recourant sur la base de la moyenne des salaires moyens de ces 5 DPT (CHF 64'846,20), qui, rapporté au revenu sans invalidité (CHF 81'793.-) - non contesté par le recourant – détermine un taux de rente d'invalidité de 21 %. Il n'y a dès lors pas lieu de se référer aux données statistiques (ESS 2014). Il est vrai que l'on peut s'étonner de ce que l'intimée ait abandonné dans la sélection sur opposition le DPT de chauffeur-livreur alors que ce poste n'était pas contesté par le recourant, ni par son médecin sur opposition, se d'autant que le poste de conducteurs de véhicules utilitaires - qui n'était pas non plus remis en cause sur opposition - a été conservé par l'intimée, dans sa nouvelle sélection. Mais cette modification n'a pas la portée que voudrait y voir le recourant: ce dernier suggère en effet que l'intimée aurait abandonné le poste de chauffeur-livreur pour le remplacer par celui de téléphoniste-réceptionniste, dont le salaire moyen serait d'environ CHF 2'000.- supérieur. On observera à cet égard que dans la systématique de sa sélection, l'intimée procède, selon les tableaux récapitulatifs, du poste au salaire moyen le moins élevé, pour aller jusqu'au poste ayant le salaire moyen le plus élevé. Or, dans cette logique, par comparaison des deux tableaux récapitulatifs, le poste de chauffeur-livreur a été remplacé par celui de surveillant de magasin, ce dernier offrant un salaire moyen de quelque CHF 2'600.- inférieur à celui de chauffeur-livreur. Or, si l'on veut rapprocher le DPT de téléphoniste-réceptionniste d'un des postes abandonnés sur opposition, celui qui correspond le plus tant par la position dans les tableaux récapitulatifs respectifs que par le genre d'activité - dans les services -, est celui d'agent d'expédition - que le Dr E______ avait considéré comme inadapté -, dont le salaire moyen est de CHF 65'780.- soit inférieur de seulement CHF 428.- à celui de téléphoniste-réceptionniste. On ne saurait donc suivre le recourant dans cette voie, qui suggère que l'intimée aurait délibérément remplacé un poste abandonné pour un autre bénéficiant d'un salaire moyen largement supérieur, ceci pour augmenter la moyenne globale des salaires moyens concernant les 5 DPT retenues; d'autant que sur opposition le salaire moyen des DPT prises en compte est inférieur de CHF 833.80 (CHF 64'846,20 versus CHF 65'680.60 dans la décision du 24 novembre 2016), ce qui a conduit l'intimée à retenir un taux d'invalidité de 21 % (versus 20% dans la décision du 24 novembre 2016). Quoi qu'il en soit, la question de la pertinence des DPT, dans le cas d'espèce, pour déterminer le taux d'invalidité peut rester ouverte compte tenu de ce qui va suivre.</w:t>
      </w:r>
    </w:p>
    <w:p>
      <w:r>
        <w:t>A/734/2018 - 24/28 -</w:t>
      </w:r>
    </w:p>
    <w:p>
      <w:r>
        <w:rPr>
          <w:b/>
        </w:rPr>
        <w:t>E. 18</w:t>
      </w:r>
    </w:p>
    <w:p>
      <w:r>
        <w:t>Dans un second moyen, le recourant considère que l'intimée aurait dû recourir à la méthode faisant appel aux salaires statistiques de l'ESS. Or, cette méthode ne lui est pas plus favorable: si son calcul du revenu d'invalide est pertinent, en tant qu'il détermine ce revenu à hauteur de CHF 66'652,48 (p. 7 § 5 du recours), revenu largement supérieur à celui déterminé par l'intimée, on ne saurait en revanche suivre le recourant lorsqu'il prétend procéder à un abattement supplémentaire des 20% retenus par le Dr E______ pour tenir compte des limitations fonctionnelles. Celles-ci sont en effet déjà prises en compte dans le salaire d'invalide ainsi déterminé et ne sauraient être prises en compte une seconde fois dans le cadre de l'abattement supplémentaire appliqué, s'il y a lieu, lorsqu'il est fait appel à la méthode des salaires statistiques; abattement qui est en tout état et au maximum de 25%. Les critères que le recourant propose de retenir (âge – il était âgé de 50 ans en 2016 - ; nationalité - il est arrivé en Suisse en février 1984 et dispose d'un permis C -; et le manque de formation – il est chef d'entreprise, s'occupe personnellement de toute l'administration et pratique encore son activité de terrain, en dirigeant ses ouvriers sur les chantiers et exerce encore, même avec des limitations, son métier de maçon) n'entrent pas en ligne de compte en l'espèce, d'autant que les activités entrant en ligne de compte dans le cadre des salaires statistiques ne requièrent aucune formation particulière. Ainsi, sous cet angle le taux d'invalidité que déterminerait le recours aux salaires statistiques serait même inférieur à celui déterminé par l'intimée dans la décision entreprise.</w:t>
      </w:r>
    </w:p>
    <w:p>
      <w:r>
        <w:rPr>
          <w:b/>
        </w:rPr>
        <w:t>E. 19</w:t>
      </w:r>
    </w:p>
    <w:p>
      <w:r>
        <w:t>Ceci dit la chambre de céans observe que le recourant ne remet plus en cause le revenu sans invalidité retenu par l'intimée. Dans le cadre de son opposition, il le contestait en arguant que l'intimée ne pouvait procéder à l'évaluation de son revenu sans invalidité en ne prenant en compte que le salaire qu'il tirait de son entreprise, dès lors qu'il est en plus associé gérant de sa société en responsabilité limitée ; suggérant qu'à ce titre il tire des revenus supplémentaires des résultats de l'entreprise. Il n'a toutefois jamais étayé son affirmation par la production de documents ou même articulé de chiffres illustrant son argumentation. D'un autre côté, il a toujours indiqué qu'il refusait d'abandonner son activité dans son entreprise, car il adore son métier de maçon, ce que le Dr E______ a d'ailleurs souligné dans son rapport. Il a du reste déclaré en comparution personnelle : " Je poursuis actuellement l’exploitation de mon entreprise. En référence à l’entretien d’évaluation de la perte de rendement pouvant être générée par les séquelles de mon accident de juillet 2015, j’avais indiqué que mon entreprise B______ Sàrl comptait 3 employés. Je précise à cet égard que cela ne prenait pas en compte ma propre activité, portant ainsi à 4 les personnes travaillant dans l’entreprise. Personne d’autre que moi ne s’occupe des tâches administratives. J’établis donc les devis, les factures. J’établis également mes factures pour le travail de l’entreprise. Les salaires et les questions de personnel sont traités par la Caisse de compensation. Pour le surplus, c’est un</w:t>
      </w:r>
    </w:p>
    <w:p>
      <w:r>
        <w:t>A/734/2018 - 25/28 - comptable externe qui s’occupe de faire les bilans et autres déclarations. De fait, j’établis tous les documents à la main, sur la base de modèles dactylographiés que je remplis, et ma fille reporte ensuite le texte en le saisissant sur l’ordinateur. Je ne suis pas familier avec l’utilisation d’un ordinateur, raison pour laquelle ma fille me donne un coup de main. Durant ma journée, comme je l’ai fait déjà avant l’accident, je suis en pratique toute la journée sur les chantiers avec mes employés. Je précise que jusqu’à juillet 2018, nous avions également un apprenti qui a terminé son apprentissage. Je ne l’ai pas gardé à mon service. Je précise que depuis l’accident, j’ai plus de peine à tenir toute la journée le rythme de travail. En fait, dans mon activité de chantier, je suis capable de participer à la pose du crépi pendant 3 - 4 heures. Mais lorsque j’en arrive à 01h00 – 01h30, je commence à voir mon bras gonfler et se durcir, de sorte que je commence à avoir de la peine à utiliser même ma main, de façon normale. En fait, dans le processus de pose du crépi, mes collaborateurs s’occupent dans une première phase de poser la matière sur le mur (je peux difficilement manier la truelle), et je passe dans une deuxième phase pour frotter et lisser le produit sur le mur concerné. J’avais d’autre part indiqué à l’époque que je suis également capable de nettoyer et ranger un chantier, soit notamment de balayer. Pour prendre un exemple, avant les vacances de cet été, mes ouvriers sont partis un jour avant moi et je me suis occupé seul de nettoyer le chantier, ce qui représentait environ 150 m2. Au bout de quelques heures, je ressentais de la fatigue dans mon bras droit et même en changeant de bras, j’avais de la peine à poursuivre. En résumé, dans l’activité que je déploie, la plupart des mouvements répétitifs que j’accomplis deviennent pénibles avec le temps, car, comme je l’ai expliqué ci-dessus, le bras durcit et j’éprouve de la gêne dans mes mouvements. Pour répondre à une question de mon avocat, par rapport à d’éventuelles autres activités, comme par exemple l’activité de visser avec un tournevis, cela m’est impossible car au bout de 3 tours, comme je dois à la fois tourner et pousser, mon biceps s’en ressent et remonte le long du bras, comme cela est décrit dans la procédure. Sur demande de précision de mon conseil, si l’on devait envisager une autre activité que celle que je déploie aujourd’hui, comme celle de chauffeur par exemple, si en effet je suis capable de conduire, cette activité ne pourrait pas être envisagée à journée faite. En effet, au bout de quelques heures, le fait d’avoir en permanence les bras pliés sur le volant provoquent également les tensions que j’évoquais tout à l’heure. En fait, au bout d’une demi-heure, je ressens déjà le besoin de reposer mon bras contre mon corps. Tout ceci pour préciser encore que depuis l’accident, je concentre mes activités dans mon entreprise sur tout ce qui est plus léger que le travail sur les chantiers proprement dits, et notamment de conduire. Pour ce qui est d’autres activités, lorsque par exemple je fais un footing d’une heure, j’en ressors avec les bras beaucoup plus fatigués que les jambes. Cet été par exemple, j’ai fait de la randonnée en montagne: après 5 heures aller et 5 heures retour, j’étais fatigué. Et pourtant, je ne portais aucun poids….. (sur question) je pense que suite à l’accident mon entreprise a dû perdre de l’argent, mais c’est difficile à dire : en y pensant plus précisément, je pense que</w:t>
      </w:r>
    </w:p>
    <w:p>
      <w:r>
        <w:t>A/734/2018 - 26/28 - j’ai tendance à ne pas prendre les travaux trop importants, pour lesquels je me rendrais compte que je ne serais pas capable de les réaliser. Lorsqu’on utilise la pelle mécanique, c’est moi qui la manie en principe, parce qu’on utilise le joystick, et c’est en principe plus léger mais encore qu’au bout d’un certain temps on retourne dans l’activité répétitive." Toutes ces explications montrent que le recourant trouve largement son compte à poursuivre son activité de chef d'entreprise et de maçon, même s'il dit éprouver des difficultés à utiliser normalement son bras et sa main droite, après quelques heures de travail. Il confirme d'ailleurs qu'il passe le plus clair de sa journée sur les chantiers avec ses collaborateurs, qu'en cas d'utilisation de la pelle mécanique, c’est lui qui la manie en principe, parce qu’on utilise le joystick, qu'il est capable d'accomplir seul le nettoyage des chantiers. En outre il s'occupe seul de l'administration de l'entreprise, les modalités de cette activité étant très certainement les mêmes qu'avant l'accident. Du reste, au vu des activités qu'il décrit être capable de faire et exécuter à journée faite, y compris hors du travail, - en pouvant faire des randonnées en montagne pendant dix heures d'affilée, respectivement deux fois cinq heures, sans remettre en cause le principe des séquelles dues à l'accident, le recourant ne convainc pas quant à l'intensité des limitations fonctionnelles dont il dit être affecté. Ceci est valable également pour les difficultés qu'il aurait, selon lui, s'il exerçait une activité adaptée, dans un autre secteur professionnel, comme le transport de personnes par exemple, d'autant que même l'expert privé qu'il a sollicité considère, pour ne prendre que cet exemple, qui serait à même de l'exercer à 100 %. Ses déclarations apparaissent ainsi relativiser très sérieusement la pertinence des objections qu'il élevait par rapport aux DPT retenues par l'intimée. Pour le reste, il ne saurait se voir reconnaître un taux d'invalidité supérieur à celui qu'admet l'intimée, en se fondant sur une baisse de rendement dans son activité habituelle, en tant que chef d'entreprise de maçonnerie, alors que l'assurance- accidents est en droit d’exiger de lui – en raison de son obligation de limiter le dommage - qu’il change d’activité dès lors qu’une totale capacité d’exercer une activité adaptée lui est reconnue, que ce soit dans l'un des postes retenus par l'intimée dans la sélection des DPT qu'elle a inventoriées, ou encore dans les activités simples ne requérant ni connaissances ni formation spécifique, relevant des salaires statistiques qu'il invoque (arrêt du Tribunal fédéral 9C_236/2009 du 7 octobre 2009 consid. 4 not. 4.2 et 4.3 ; 8C_748/2008 du 10 juin 2009 consid. 4.2.1). Le recourant a ainsi fait un choix dont les conséquences ne doivent pas être assumées par l'assurance-accidents. Pour ce motif également, le recours doit être rejeté.</w:t>
      </w:r>
    </w:p>
    <w:p>
      <w:r>
        <w:rPr>
          <w:b/>
        </w:rPr>
        <w:t>E. 20</w:t>
      </w:r>
    </w:p>
    <w:p>
      <w:r>
        <w:t>Enfin le recourant estime avoir droit au remboursement des frais d'expertise privée de CHF 2'000.-, à inclure dans l'indemnité de procédure qu'il prétend se voir allouer. En substance, le recourant considère que l'expertise privée du Dr E______ – dont il reprend pour l'essentiel les conclusions - doit être préférée à l'appréciation de la Dresse F______.</w:t>
      </w:r>
    </w:p>
    <w:p>
      <w:r>
        <w:t>A/734/2018 - 27/28 - Les jurisprudences sur lesquelles il se fonde (ATF 115 V 62 consid. 5 ainsi que 8C_397/2014 du 27 avril 2015 consid. 7) ne lui sont d'aucun secours. Dans le premier cas, le Tribunal fédéral des assurances avait fondé sa décision (sur le fond) sur l'avis complémentaire privé du médecin spécialiste Dr. I. du 8 mars 1988, qui contenait des informations médicales considérables et pertinentes et dans lequel la capacité de travail du plaignant était évaluée de la même manière que dans un rapport précédent; la juridiction inférieure ayant considéré à tort que ce rapport obtenu lors de la procédure administrative était sans intérêt, il était nécessaire d'obtenir un avis complémentaire de ce médecin concernant la protection des intérêts du plaignant. Les frais de l'avis complémentaire privé du 8 mars 1988 étaient donc des frais nécessaires au sens de l'article 159 al. 2, OJ. Dans le second cas, le Tribunal fédéral rappelait que, selon la jurisprudence, les frais d'expertise privée peuvent être inclus dans les dépens mis à la charge de l'assureur social, lorsque cette expertise était nécessaire à la résolution du litige (ATF 135 V 473; 115 V 62). En l'occurrence, la production de l'expertise privée s'était révélée utile à la solution du litige puisqu'elle avait conduit à la mise en œuvre, par les juges cantonaux, de l'expertise judiciaire. Il se justifiait par conséquent d'admettre la conclusion du recourant tendant à la prise en charge de la note honoraires facturée par l'expert privé. En l'espèce, la situation est très différente : non seulement, vu l'issue du litige, il ne sera pas alloué d'indemnité au recourant, mais de plus, cette question ne fait pas partie de l'objet du litige, la décision entreprise ne traitant pas de cette question qui n'a pas fait l'objet de conclusions dans ce sens au stade de l'opposition. Le recourant a sollicité, à l'époque, l'avis du Dr E______ pour étayer son argumentation, dans le cadre de l'opposition; cet avis, au même titre qu'aurait pu l'être celui d'un médecin traitant habituel de l'assuré, a certes été soumis par la CNA à son service médical, lequel a partiellement admis l'appréciation de ce médecin; ce qui a conduit la CNA à rendre la décision sur opposition, objet du recours. Or, et contrairement aux deux situations visées dans les jurisprudences susmentionnées, l'avis de l'expert privé sollicité au stade de la procédure administrative, n'était pas nécessaire à la solution du litige au stade du recours. Quand bien même la CNA en a tenu compte dans le cadre de l'examen de l'opposition, pour admettre partiellement cette dernière, on ne saurait lui faire grief d'une instruction insuffisante préalablement à la décision qu'elle a rendu le 24 novembre 2016, laquelle était alors fondée sur l'avis préalable de son médecin d'arrondissement, dont le pronostic ne s'était pas vérifié, comme cela ressort de l'appréciation médicale de la Dresse F______; ce qui avait conduit cette dernière à prendre partiellement en compte l'avis du Dr E______, et à admettre partiellement l'opposition. Il ne sera donc pas fait droit à cette conclusion du recourant.</w:t>
      </w:r>
    </w:p>
    <w:p>
      <w:r>
        <w:rPr>
          <w:b/>
        </w:rPr>
        <w:t>E. 21</w:t>
      </w:r>
    </w:p>
    <w:p>
      <w:r>
        <w:t>En tout point mal fondé, le recours sera rejeté, sans indemnité. Pour le surplus, la procédure est gratuite (art. 61 let. a LPGA).</w:t>
      </w:r>
    </w:p>
    <w:p>
      <w:r>
        <w:t>A/734/2018 - 28/28 -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