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ATAS/13/2013 vom 15. Januar 2013</w:t>
      </w:r>
    </w:p>
    <w:p>
      <w:r>
        <w:t>GE Cour de justice, 2013-01-15, FR</w:t>
      </w:r>
    </w:p>
    <w:p>
      <w:r>
        <w:rPr>
          <w:b/>
        </w:rPr>
        <w:t xml:space="preserve">Quelle: </w:t>
      </w:r>
      <w:r>
        <w:t>https://mcp.opencaselaw.ch/entscheid/ge_gerichte_ATAS_13_2013</w:t>
      </w:r>
    </w:p>
    <w:p>
      <w:r>
        <w:t>FR: GE_GERICHTE ATAS/13/2013 du 15 janvier 2013</w:t>
      </w:r>
    </w:p>
    <w:p>
      <w:r>
        <w:t>IT: GE_GERICHTE ATAS/13/2013 del 15 gennaio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Interjeté dans les délais et forme prescrits par la loi, le recours est recevable (art. 56 ss LPGA et 43 LPCC, ainsi que 89B de la loi sur la procédure administrative, du 12 septembre 1985 - LPA ; RS E 5 10).</w:t>
      </w:r>
    </w:p>
    <w:p>
      <w:r>
        <w:t>A/2446/2012 - 7/11 -</w:t>
      </w:r>
    </w:p>
    <w:p>
      <w:r>
        <w:rPr>
          <w:b/>
        </w:rPr>
        <w:t>E. 3</w:t>
      </w:r>
    </w:p>
    <w:p>
      <w:r>
        <w:t>Est litigieuse en l'occurrence la question de savoir si le recourant a son domicile ou sa résidence habituelle dans le canton de Genève, en tant que condition au droit à des prestations complémentaires.</w:t>
      </w:r>
    </w:p>
    <w:p>
      <w:r>
        <w:rPr>
          <w:b/>
        </w:rPr>
        <w:t>E. 4</w:t>
      </w:r>
    </w:p>
    <w:p>
      <w:r>
        <w:t>Au niveau fédéral, l’art. 4 al. 1 let. b LPC prévoit que les personnes qui ont leur domicile et leur résidence habituelle (art. 13 LPGA) en Suisse ont droit à des prestations complémentaires, dès lors qu’elles auraient droit à une rente de vieillesse de l’assurance-vieillesse et survivants (AVS) si elles justifiaient de la durée de cotisation minimale requise par l'art 29 al. 1 de la loi fédérale sur l’assurance-vieillesse et survivants, du 20 décembre 1946 (LAVS ; RS 831.10). Le domicile et la résidence habituelle étaient aussi exigés par l'art. 2 al. 1 aLPC, dans sa teneur valable jusqu'au 31 décembre 2007. Au niveau cantonal, l’art. 2 al. 1 LPCC soumet également le droit aux prestations complémentaires à la condition du domicile et de la résidence habituelle.</w:t>
      </w:r>
    </w:p>
    <w:p>
      <w:r>
        <w:rPr>
          <w:b/>
        </w:rPr>
        <w:t>E. 5</w:t>
      </w:r>
    </w:p>
    <w:p>
      <w:r>
        <w:t>Selon l'art. 13 LPGA, applicable par renvoi des art. 1 al. 1 LPC et 1A LPCC, en vigueur depuis le 1er janvier 2008, le domicile d'une personne est déterminé selon les art. 23 à 26 du code civil du 10 décembre 1907 (CC; RS 210). a) Il sied préalablement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(Franz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 4 et 44 ad art. 23 CC; Daniel STAEHELIN, op. cit., ZGB I , n. 3 ad art. 23 CC; MAURER, op. cit., note de bas de page 519 p. 235). b) Le domicile de toute personne est au lieu où elle réside avec l'intention de s'y établir (art. 23 al. 1 CC). La notion de domicile comporte deux éléments : l'un objectif, la résidence dans un lieu donné ; l'autre subjectif, l'intention d'y demeurer. La notion de résidence habituelle d'une personne physique correspond à l'endroit où la personne intéressée a le centre de ses relations personnelles et se déduit, non de sa volonté subjective et intime, mais de circonstances de fait extérieurement reconnaissables attestant de sa présence dans un lieu donné (ATF 129 III 288 consid. 4.1 p. 292 et les références) soit sur l'intention manifestée objectivement et reconnaissable pour les tiers (ATF 127 V 238 consid. 1, 125 V 77 consid. 2a, 120</w:t>
      </w:r>
    </w:p>
    <w:p>
      <w:r>
        <w:t>A/2446/2012 - 8/11 - III 7 consid. 2a).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Le domicile en un lieu peut durer alors même que la résidence en ce lieu est interrompue pour un certain temps, pourvu que la volonté de conserver le lieu de résidence comme centre d’existence résulte de certains rapports avec celui-ci (ATF 41 III 51).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w:t>
      </w:r>
    </w:p>
    <w:p>
      <w:r>
        <w:t>A/2446/2012 - 9/11 -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w:t>
      </w:r>
    </w:p>
    <w:p>
      <w:r>
        <w:rPr>
          <w:b/>
        </w:rPr>
        <w:t>E. 6</w:t>
      </w:r>
    </w:p>
    <w:p>
      <w:r>
        <w:t>En l'espèce, c'est sur la base du site Internet de la maison d'hôtes de St-Jean-de- Tholome et d'un coup de téléphone passé par l'assuré depuis cette maison d'hôtes que le SPC a estimé que l'assuré n'était plus domicilié à Genève. Certes, en principe, l'exploitant d'une maison d'hôtes y réside. Dans de nombreux cas, la maison en question est principalement la résidence de ses exploitants, lesquels louent quelques chambres, à titre d'activité accessoire. Il est ainsi compréhensible, sur la base du site Internet et de cet appel téléphonique, que le SPC ait estimé que l'assuré s'était installé en France, à St-Jean-de-Tholome, où il exploitait une maison d'hôtes avec son épouse. L'instruction de la cause a permis d'établir que l'exploitation de la maison d'hôtes a débuté fin 2010 seulement, que des chambres ont été louées dès janvier 2011 puis, qu'en 2012, des repas ont été proposés aux hôtes. La fréquentation relativement faible de la maison d'hôtes n'est pas, en soi, suffisante pour établir que l'assuré ne s'y est pas installé, ni transféré son domicile en France. En effet, on comprendrait mal qu'un couple aux ressources modestes, bénéficiaire de prestations complémentaires, continue à assumer un loyer à Genève s'il dispose d'un logement spacieux en France voisine, soit une maison d'hôtes en général habités par ses exploitants. Ce sont toutefois les déclarations concordantes et convaincantes de l'assuré et de son épouse, concernant les difficultés conjugales rencontrées, qui emportent la conviction de la Cour de céans que l'assuré a maintenu son domicile à Genève et réside toujours rue C_________. Le couple est séparé depuis septembre 2012 et l'épouse de l'assuré est officiellement domiciliée en France depuis lors, mais y réside très fréquemment depuis mars 2012. Il peut donc être retenu, au degré de la vraisemblance prépondérante, qu'en raison notamment de la dégradation des relations conjugales quelques temps auparavant déjà, l'assuré a conservé son logement à Genève, ne se rendant à la maison d'hôtes que quelques nuits en 2011 et rarement en 2012. Sur ces points, les déclarations de l'assuré et de son épouse sont non seulement concordantes, mais empreintes de sincérité, alors que sur le but et l'organisation de la maison d'hôte, elles le sont moins, ce qui démontre qu'ils ne se sont pas concertés. A cet égard, ce projet de maison d'hôtes peut paraître hasardeux ou courageux, selon les points de vue. De même, on peut s'étonner que l'épouse de l'assuré ait</w:t>
      </w:r>
    </w:p>
    <w:p>
      <w:r>
        <w:t>A/2446/2012 - 10/11 - cessé toute activité professionnelle en 2009 pour se consacrer à une maison d'hôtes peu lucrative, mais ces éléments ne sont pas déterminants pour trancher la présente cause, qui ne concerne que le domicile de l'assuré et de son épouse. Or, au vu des éléments qui précèdent, confirmés par les attestations produites par l'assuré et dont la valeur probante n'est pas contestée par le SPC, il est établi au degré de la vraisemblance prépondérante que l'assuré a toujours été domicilié à Genève, sans interruption. En particulier, il ne s'est pas constitué un nouveau domicile à St-Jean-de-Tholome. S'agissant de son épouse, au vu des déclarations de celle-ci, il convient de retenir que, dès le mois de mars 2012, elle a déplacé son domicile en France. Ainsi, la décision du 6 février 2012 qui supprime les prestations, alors limitées au paiement du subside d'assurance-maladie, doit être annulée, de même que la décision sur opposition du 9 juillet 2012. Pour le surplus, la dernière décision du 19 décembre 2011, qui alloue un subside d'assurance-maladie à l'assuré et à son épouse, sur la base des revenus et des dépenses ressortant du plan calcul est désormais définitive et exécutoire, de sorte que l'assuré ne peut plus remettre en cause, en particulier, la prise en compte d'un gain potentiel pour son épouse. Au demeurant, celle-ci est âgée de 56 ans en 2012, n'a pas allégué être atteinte dans sa santé, de sorte que la prise en compte d'un gain potentiel est justifiée. Cela étant, il conviendra de procéder à un nouveau calcul des prestations, afin de tenir compte du départ de l'épouse de l'assuré pour la France, dès le mois de mars 2012, communiqué au SPC par bordereau de pièces du 31 octobre 2012 et pour remettre à jour la situation financière de l'assuré, qui allègue ne plus exercer d'activité lucrative et ne réaliser aucun revenu. Ces deux questions excèdent toutefois l'objet du litige, limité au domicile de l'assuré et de son épouse lors de la décision litigieuse de suppression des prestations, en février 2012.</w:t>
      </w:r>
    </w:p>
    <w:p>
      <w:r>
        <w:rPr>
          <w:b/>
        </w:rPr>
        <w:t>E. 7</w:t>
      </w:r>
    </w:p>
    <w:p>
      <w:r>
        <w:t>Le recours sera donc admis, la décision sur opposition du 9 juillet 2012 et la décision du 6 février 2012 seront annulées. Le recourant obtenant gain de cause, une indemnité de 2'500 fr. lui est allouée, compte tenu du nombre d'écritures et d'audiences.</w:t>
      </w:r>
    </w:p>
    <w:p>
      <w:r>
        <w:t>A/2446/2012 - 11/11 - PAR CES MOTIFS, LA CHAMBRE DES ASSURANCES SOCIALES : Statuant A la forme : 1. Déclare le recours recevable. Au fond : 2. L'admet, annule la décision sur opposition du 9 juillet 2012 et la décision du 6 février 2012 et renvoie la cause à l'intimé pour nouvelle décision dès le 1er mars 2012. 3. Condamne l'intimé à verser au recourant une indemnité de 2'500 fr. à titre de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