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ATAS/13/2012 vom 9. Januar 2012</w:t>
      </w:r>
    </w:p>
    <w:p>
      <w:r>
        <w:t>GE Cour de justice, 2012-01-09, FR</w:t>
      </w:r>
    </w:p>
    <w:p>
      <w:r>
        <w:rPr>
          <w:b/>
        </w:rPr>
        <w:t xml:space="preserve">Quelle: </w:t>
      </w:r>
      <w:r>
        <w:t>https://mcp.opencaselaw.ch/entscheid/ge_gerichte_ATAS_13_2012</w:t>
      </w:r>
    </w:p>
    <w:p>
      <w:r>
        <w:t>FR: GE_GERICHTE ATAS/13/2012 du 9 janvier 2012</w:t>
      </w:r>
    </w:p>
    <w:p>
      <w:r>
        <w:t>IT: GE_GERICHTE ATAS/13/2012 del 9 gennaio 2012</w:t>
      </w:r>
    </w:p>
    <w:p>
      <w:pPr>
        <w:pStyle w:val="Heading2"/>
      </w:pPr>
      <w:r>
        <w:t>Regeste</w:t>
      </w:r>
    </w:p>
    <w:p>
      <w:r>
        <w:t>Résumé: En matière de prestations complémentaires fédérales et cantonales, les revenus déterminants comprennent les ressources et parts de fortune dont un ayant droit s'est dessaisi (art. 11 al.1 let g LPC). Dans ce cadre, il convient d'examiner les possibilités de mise en valeur de la capacité de gain du conjoint et de fixer le salaire qui pourrait être tiré d'une activité lucrative en tenant compte en particulier des connaissances linguistiques de la personne, de sa formation professionnelle, de son âge, de son état de santé et de l'activité exercée précedemment. Ne doit donc pas être retenu au titre de revenu, un gain hypothétique à l'endroit de l'époux de l'assurée qui - âgé de 60 ans et avocat de formation - a effectué de nombreuses offres d'emploi restées vaines et qui a donc entrepris toutes les démarches que l'on pouvait attendre de lui en vue de retrouver un emploi. Son inactivité est ainsi due à des motifs conjoncturels. On parle encore de dessaisissement lorsque l'assuré renonce à une part de fortune sans obligation légale ou sans contre-prestation adéquate. Tel est le cas s'agissant d'une partie de capital dont l'assuré n'a pas été en mesure d'établir, justificatifs à l'appui, l'usage qu'il en a fait.</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et à l’art. 43 de la loi cantonale du 25 octobre 1968 sur les prestations cantonales complémentaires à l’assurance-vieillesse et survivants et à l’assurance-invalidité (LPCC; art. 56 V al. 2 let. a LOJ).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 dès lors que l’objet du litige porte sur le droit aux prestations complémentaires à compter du 1er juin 2009.</w:t>
      </w:r>
    </w:p>
    <w:p>
      <w:r>
        <w:t>A/1334/2010 - 10/22 -</w:t>
      </w:r>
    </w:p>
    <w:p>
      <w:r>
        <w:rPr>
          <w:b/>
        </w:rPr>
        <w:t>E. 3</w:t>
      </w:r>
    </w:p>
    <w:p>
      <w:r>
        <w:t>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sv). En l’espèce, il ne fait aucun doute que la recourante, qui a requis des prestations complémentaires de la part de l’intimé, a qualité pour recourir. En revanche, l’époux de la recourante n’a pas la qualité pour recourir, dans la mesure où il n’a pas sollicité de prestations complémentaires pour lui-même et n’est touché que de manière indirecte par la décision de l’intimé. Partant, en tant que le recours a été interjeté par l’époux de l’intéressée, il doit être déclaré irrecevable.</w:t>
      </w:r>
    </w:p>
    <w:p>
      <w:r>
        <w:rPr>
          <w:b/>
        </w:rPr>
        <w:t>E. 4</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 J 7 10]) auprès du tribunal des assurances du canton de domicile de l’assuré (art. 58 al. 1 LPGA). S’agissant des prestations complémentaire cantonales, l’art. 43 LPCC ouvre les mêmes voies de droit. En l’espèce, le recours formé le 16 avril 2010 à l’encontre de la décision du 16 mars 2010 a été interjeté dans les forme et délai prescrits par la loi, de sorte qu’il est recevable.</w:t>
      </w:r>
    </w:p>
    <w:p>
      <w:r>
        <w:t>A/1334/2010 - 11/22 -</w:t>
      </w:r>
    </w:p>
    <w:p>
      <w:r>
        <w:rPr>
          <w:b/>
        </w:rPr>
        <w:t>E. 5</w:t>
      </w:r>
    </w:p>
    <w:p>
      <w:r>
        <w:t>Le litige porte sur le droit de la recourante à des prestations complémentaires à compter du 1er juin 2009, singulièrement sur le calcul de ces prestations. Dans son recours, la recourante conteste la prise en compte dans le revenu déterminant d’un gain potentiel de son époux, de parts de fortune représentant des biens dessaisis, ainsi que le montant du loyer.</w:t>
      </w:r>
    </w:p>
    <w:p>
      <w:r>
        <w:rPr>
          <w:b/>
        </w:rPr>
        <w:t>E. 6</w:t>
      </w:r>
    </w:p>
    <w:p>
      <w:r>
        <w:t>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40'000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w:t>
      </w:r>
    </w:p>
    <w:p>
      <w:r>
        <w:rPr>
          <w:b/>
        </w:rPr>
        <w:t>E. 7</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w:t>
      </w:r>
    </w:p>
    <w:p>
      <w:r>
        <w:rPr>
          <w:b/>
        </w:rPr>
        <w:t>E. 11</w:t>
      </w:r>
    </w:p>
    <w:p>
      <w:r>
        <w:t>Enfin, la recourante conteste le loyer pris en compte par l’intimé dans sa décision litigieuse. L’art. 10 al. 1er let. b LPC prévoit, pour les personnes vivant à domicile, que les dépenses reconnues comprennent notamment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L'article 16c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Les mêmes principes s’appliquent en matière de prestations complémentaires cantonales (cf. art. 6 LPCC).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w:t>
      </w:r>
    </w:p>
    <w:p>
      <w:r>
        <w:rPr>
          <w:b/>
        </w:rPr>
        <w:t>E. 12</w:t>
      </w:r>
    </w:p>
    <w:p>
      <w:r>
        <w:t>En l’occurrence, il n’est pas contesté que la recourante et son époux sont sous- locataires d’une villa qu’ils partagent avec leur fils, pour un loyer annuel de 21'600.- fr. Selon le contrat de sous-location transmis à l’intimé le 3 juin 2009 déjà, cette villa est partagée avec un autre sous-locataire, Mme et M. Q___________ (les parents de la recourante). A cet égard, la recourante a versé à la procédure un contrat de sous- location établi au nom de ses parents, qui atteste que ces derniers paient, depuis le 1er avril 2007, un loyer annuel de 9'600.- fr. qui leur est propre.</w:t>
      </w:r>
    </w:p>
    <w:p>
      <w:r>
        <w:t>A/1334/2010 - 21/22 - Il s’ensuit que seul le fils de la recourante et de son époux doit être pris en compte pour déterminer le montant du loyer déterminant. C’est par conséquent à juste titre que l’intimé, dans son écriture du 26 août 2010, a admis que le loyer à retenir pour le calcul des prestations complémentaires de la recourante s’élève à 14'400 fr., soit 2/3 de 21'600.- fr. La décision litigieuse, qui a pris en compte un loyer de 8'640 fr., doit également être annulée pour ce motif.</w:t>
      </w:r>
    </w:p>
    <w:p>
      <w:r>
        <w:rPr>
          <w:b/>
        </w:rPr>
        <w:t>E. 13</w:t>
      </w:r>
    </w:p>
    <w:p>
      <w:r>
        <w:t>Compte tenu de ce qui précède, le recours sera partiellement admis et la cause renvoyée à l’intimé afin qu’il effectue un nouveau calcul des prestations complémentaires à compter du 1er juin 2009, sans revenu hypothétique de l’époux de la recourante, avec un loyer de 14'400.- fr. et avec un montant de 82'103 fr. 90 à titre de biens dessaisis.</w:t>
      </w:r>
    </w:p>
    <w:p>
      <w:r>
        <w:rPr>
          <w:b/>
        </w:rPr>
        <w:t>E. 14</w:t>
      </w:r>
    </w:p>
    <w:p>
      <w:r>
        <w:t>La procédure est gratuite.</w:t>
      </w:r>
    </w:p>
    <w:p>
      <w:r>
        <w:t>A/1334/2010 - 22/22 -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