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ATAS/139/2017 vom 22. Februar 2017</w:t>
      </w:r>
    </w:p>
    <w:p>
      <w:r>
        <w:t>GE Cour de justice, 2017-02-22, FR</w:t>
      </w:r>
    </w:p>
    <w:p>
      <w:r>
        <w:rPr>
          <w:b/>
        </w:rPr>
        <w:t xml:space="preserve">Quelle: </w:t>
      </w:r>
      <w:r>
        <w:t>https://mcp.opencaselaw.ch/entscheid/ge_gerichte_ATAS_139_2017</w:t>
      </w:r>
    </w:p>
    <w:p>
      <w:r>
        <w:t>FR: GE_GERICHTE ATAS/139/2017 du 22 février 2017</w:t>
      </w:r>
    </w:p>
    <w:p>
      <w:r>
        <w:t>IT: GE_GERICHTE ATAS/139/2017 del 22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Est litigieux le droit du recourant à l'assistance juridique à partir du 8 décembre 2016, dans le cadre de la procédure d’audition faisant suite au projet du 25 novembre 2016 par lequel l’intimé lui accorde une rente entière d’invalidité du 1er août 2014 au 29 février 2016.</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w:t>
      </w:r>
    </w:p>
    <w:p>
      <w:r>
        <w:t>A/4386/2016 - 7/13 -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w:t>
      </w:r>
    </w:p>
    <w:p>
      <w:r>
        <w:t>A/4386/2016 - 8/13 -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w:t>
      </w:r>
    </w:p>
    <w:p>
      <w:r>
        <w:t>A/4386/2016 - 9/13 - requérant n'est pas apte à faire face seul (ATF 130 I 180 consid. 2.2; arrêt du Tribunal fédéral 9C_105/2007 du 13 novembre 2007 consid. 3.1 et les références).</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requiert l'assistance juridique dans le cadre de son opposition au projet d’acceptation de rente du 25 novembre 2016 lui accordant une rente entière d’invalidité du 1er août 2014 au 29 février 2016. Ce projet fait suite à une expertise médicale bi-disciplinaire du 28 septembre 2016. Au vu de la jurisprudence susmentionnée, la nature du litige concernant le droit éventuel à une rente d’invalidité au-delà du 29 février 2016 ne permet pas d’admettre que la situation juridique du recourant est susceptible d’être touchée gravement, de sorte que l’assistance juridique n’apparaît pas d’emblée comme nécessaire. Dès lors, il convient d'examiner si, concrètement, la détermination de la capacité de gain raisonnablement exigible du recourant après expertise bi- disciplinaire pose des difficultés telles d'un point de vue objectif que le recours à un avocat se justifie. En l’occurrence, il est indéniable que le recourant de nationalité somalienne n'est pas en mesure de s'orienter seul dans la procédure en raison de ses difficultés à comprendre le français et à s'exprimer dans cette langue, de sorte qu’il a besoin de l'aide d'un tiers. Le projet de décision du 25 novembre 2016 porte sur la durée du droit du recourant à une rente entière d’invalidité, respectivement l’évaluation de sa capacité de travail raisonnablement exigible dans une activité adaptée et la valeur probante de l’expertise du 28 septembre 2016. S’il ne fait aucun doute que la question de l’évaluation de sa capacité de travail dans une activité adaptée peut être appréciée par ses divers médecins, à savoir les Drs C______, D______ et J______ pour les troubles lombaires et la Dresse K______ pour l’aspect psychique, en revanche, sur le plan juridique, se pose la question du respect par l’intimé du droit d’être entendu du recourant au sens de l’art. 29 al. 2 de la Constitution fédérale de la Confédération suisse du 18 avril 1999 (Cst. - RS 101), respectivement du droit du recourant à participer à l’établissement d’une expertise. En effet, il ressort du dossier de l’intimé que le recourant n’a été informé que du nom du centre d’expertise auquel le mandat d’expertise a été confié, sans que l’intimé ne lui communique le nom de l’expert psychiatre, ni ne l’informe que le mandat d’expertise psychiatrique était modifié en mandat d’expertise bi- disciplinaire rhumatologique et psychiatrique, ni ne lui communique davantage le</w:t>
      </w:r>
    </w:p>
    <w:p>
      <w:r>
        <w:t>A/4386/2016 - 10/13 - nom de l’expert rhumatologue. Une telle façon de procéder vide de leur substance les nouvelles exigences procédurales de l’ATF 137 V 210 consid. 3 qui visent à renforcer le caractère équitable de la procédure administrative (notamment droit de se prononcer sur le choix de l'expert). Par conséquent, il s’agit d’une problématique juridique complexe qui nécessite le recours à un avocat, car des représentants d'associations, des assistants sociaux ou encore des spécialistes ou des personnes de confiance œuvrant au sein d'institutions sociales ne sont pas objectivement en mesure d'assister le recourant sur cette question particulière. Quant aux chances de succès de la démarche du recourant, elles ne sont pas négligeables car la violation du droit d’être entendu dans le cadre de la mise en œuvre d’une expertise avant de rendre une décision au sens de l'art. 49 LPGA est un vice de procédure qui ne peut pas être réparé lorsque l'expertise constitue l'élément central et prépondérant de l'instruction (ATF 120 V 357 consid. 2b; RAMA 2000 n° U 369 p. 104 consid. 2b, 1996 n° U 265 p. 294 consid. 3c). En outre, les parties s’accordent sur l’indigence du recourant. Par conséquent, au vu des circonstances particulières du cas d’espèce, on se trouve dans un cas exceptionnel imposant l’assistance d’un avocat au stade de l’instruction de la demande. Étant donné que toutes les conditions cumulatives requises pour l’octroi de l’assistance juridique sont réalisées, celle-ci doit être accordée au recourant.</w:t>
      </w:r>
    </w:p>
    <w:p>
      <w:r>
        <w:rPr>
          <w:b/>
        </w:rPr>
        <w:t>E. 9</w:t>
      </w:r>
    </w:p>
    <w:p>
      <w:r>
        <w:t>Le recourant conclut également à la nomination de son mandataire en tant qu’avocat d’office. 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il y a lieu de nommer ce dernier en tant que défenseur d’office.</w:t>
      </w:r>
    </w:p>
    <w:p>
      <w:r>
        <w:rPr>
          <w:b/>
        </w:rPr>
        <w:t>E. 10</w:t>
      </w:r>
    </w:p>
    <w:p>
      <w:r>
        <w:t>Le recourant invoque une violation du principe de l’égalité de traitement au sens de l’art. 8 al. 2 Cst. dans le cadre de la nouvelle pratique des tribunaux consistant à</w:t>
      </w:r>
    </w:p>
    <w:p>
      <w:r>
        <w:t>A/4386/2016 - 11/13 - trancher les recours sans prendre en compte les rapports médicaux postérieurs à la date de la décision litigieuse.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ATF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ATF 138 I 205 consid. 5.5 et les références). b)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c) En l’espèce, l’intimé est tenu d’instruire la demande de prestations en vertu du principe inquisitoire de l’art. 43 al. 1 LPGA, selon lequel les faits pertinents de la cause doivent être constatés d'office par l'autorité. S’il conteste en justice la décision de l’OAI, l’assuré peut produire dans la procédure contentieuse tout rapport médical destiné à prouver un fait survenu antérieurement à la décision</w:t>
      </w:r>
    </w:p>
    <w:p>
      <w:r>
        <w:t>A/4386/2016 - 12/13 - litigieuse. Par conséquent, contrairement à ce que soutient le recourant, il n’existe aucune pratique consistant à ne pas prendre en compte les rapports médicaux postérieurs à la décision de l’OAI servant à établir la situation médicale antérieure à la date de ladite décision. Les références jurisprudentielles que cite le recourant ne concernent pas le cas de la première demande, mais celles de la nouvelle demande à la suite d’un refus de rente ou une procédure de révision, soit des situations tout à fait différentes de celle du recourant. En effet,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Étant donné qu’en cas de première demande, le recourant peut produire en procédure contentieuse tout rapport médical postérieur à la décision litigieuse pour autant qu’il serve à établir la situation médicale à la date de ladite décision, le grief de violation du principe de non-discrimination n’a pas à être examiné.</w:t>
      </w:r>
    </w:p>
    <w:p>
      <w:r>
        <w:rPr>
          <w:b/>
        </w:rPr>
        <w:t>E. 11</w:t>
      </w:r>
    </w:p>
    <w:p>
      <w:r>
        <w:t>Au vu de ce qui précède, le recours sera admis et la décision du 14 décembre 2016 sera annulée. Le recourant étant représenté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A/4386/2016 - 13/13 -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