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ATAS/139/2011 vom 10. Februar 2011</w:t>
      </w:r>
    </w:p>
    <w:p>
      <w:r>
        <w:t>GE Cour de justice, 2011-02-10, FR</w:t>
      </w:r>
    </w:p>
    <w:p>
      <w:r>
        <w:rPr>
          <w:b/>
        </w:rPr>
        <w:t xml:space="preserve">Quelle: </w:t>
      </w:r>
      <w:r>
        <w:t>https://mcp.opencaselaw.ch/entscheid/ge_gerichte_ATAS_139_2011</w:t>
      </w:r>
    </w:p>
    <w:p>
      <w:r>
        <w:t>FR: GE_GERICHTE ATAS/139/2011 du 10 février 2011</w:t>
      </w:r>
    </w:p>
    <w:p>
      <w:r>
        <w:t>IT: GE_GERICHTE ATAS/139/2011 del 10 febbraio 2011</w:t>
      </w:r>
    </w:p>
    <w:p>
      <w:pPr>
        <w:pStyle w:val="Heading2"/>
      </w:pPr>
      <w:r>
        <w:t>Erwägungen</w:t>
      </w:r>
    </w:p>
    <w:p>
      <w:r>
        <w:rPr>
          <w:b/>
        </w:rPr>
        <w:t>E. 1</w:t>
      </w:r>
    </w:p>
    <w:p>
      <w:r>
        <w:t>Jusqu’au 31 décembre 2010, conformément à l'art. 56 V al. 1 let. a ch. 2 de la loi sur l'organisation judiciaire, du 22 novembre 1941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23 février 2010 est postérieure à l'entrée en vigueur de la LPGA ainsi qu'à celle, le 1er janvier 2004, des modifications de la loi fédérale sur l'assurance-invalidité du 21 mars 2003 (4ème révision) et, le 1er janvier 2008, des modifications de la loi fédérale sur l’assurance-invalidité du 6 octobre 2006 (5ème révision). Cependant les faits pertinents remontent au mois de juillet 2007. Partant, du point de vue matériel, le droit éventuel à une rente d'invalidité doit être examiné, pour la période jusqu’au 31 décembre 2007, au regard des</w:t>
      </w:r>
    </w:p>
    <w:p>
      <w:r>
        <w:t>A/1235/2010 - 11/21 - dispositions de la LPGA et de celles de la LAI en vigueur jusqu’à cette date, et dès le 1er janvier 2008, en fonction des modifications de la LAI consécutives à la 5ème révision, dans la mesure de leur pertinence (ATF 130 V 445 et les références; voir également ATF 130 V 329). En ce qui concerne en revanche la procédure, et à défaut de règles transitoires contraires, le nouveau droit s'applique sans réserve dès le jour de son entrée en vigueur (ATF 117 V 93 consid. 6b, 112 V 360 consid. 4a; RAMA 1998 KV 37 p. 316 consid. 3b).</w:t>
      </w:r>
    </w:p>
    <w:p>
      <w:r>
        <w:rPr>
          <w:b/>
        </w:rPr>
        <w:t>E. 3</w:t>
      </w:r>
    </w:p>
    <w:p>
      <w:r>
        <w:t>Interjeté dans les formes et délai prévus par la loi, le recours est recevable (art. 56 à 61 LPGA).</w:t>
      </w:r>
    </w:p>
    <w:p>
      <w:r>
        <w:rPr>
          <w:b/>
        </w:rPr>
        <w:t>E. 4</w:t>
      </w:r>
    </w:p>
    <w:p>
      <w:r>
        <w:t>Le litige porte sur le droit du recourant à une rente d’invalidité au-delà du mois de juillet 2008, et singulièrement, sur son degré d’invalidité.</w:t>
      </w:r>
    </w:p>
    <w:p>
      <w:r>
        <w:rPr>
          <w:b/>
        </w:rPr>
        <w:t>E. 5</w:t>
      </w:r>
    </w:p>
    <w:p>
      <w:r>
        <w:t>Il sied tout d’abord d’examiner si et quand l’état de santé du recourant s’est amélioré. En effet,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Arrêt du TF non publié du 28 décembre 2006, I 520/05, consid. 3.2).</w:t>
      </w:r>
    </w:p>
    <w:p>
      <w:r>
        <w:rPr>
          <w:b/>
        </w:rPr>
        <w:t>E. 6</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w:t>
      </w:r>
    </w:p>
    <w:p>
      <w:r>
        <w:t>A/1235/2010 - 12/21 -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c)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ss consid. 3b/ee; ATFA non publié du 13 mars 2000, I 592/99, consid. b/ee).</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A/1235/2010 - 13/21 -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En l’espèce, les atteintes dont souffre le recourant au niveau de l'épaule gauche sont clairement établies et non contestées. Il n'est pas non plus contesté qu’en raison desdites atteintes, le recourant doit désormais éviter le port de charges, les tractions, pulsions, rotations et l’usage de la force à l’aide du membre supérieur gauche et que sa capacité à exercer son activité habituelle d’installateur sanitaire est nulle depuis le 1er juillet 2006. En revanche, l'intimé a estimé que, depuis avril 2007, il est exigible du recourant qu'il exerce une activité administrative à raison de 30% et que depuis le 30 juillet 2008 sa capacité à exercer une telle activité est de 100%. La Cour de céans relève que le recourant a admis avoir repris une activité administrative à 30% au sein de sa société depuis le 16 avril 2007. Par ailleurs, c'est à juste titre que l’intimé à conclu à une capacité de travail de 100% dès le 30 juillet 2008 dans une activité adaptée. En effet, à sa sortie de la CRR, le Dr E_________ a attesté qu’il ne souffrait pratiquement pas, que son handicap fonctionnel était bien compensé et qu’une nouvelle intervention n’était pas indiquée. On peut dès lors considérer que l'état de l'intéressé s'est alors stabilisé, d'autant que le Dr B____________, médecin de l’assureur-accidents, a confirmé cette stabilisation dans son rapport du 25 novembre 2008, tout comme le fait que l'assuré pourrait pouvait exercer à plein une activité adaptée aux limitations fonctionnelles liées à son membre supérieur gauche. Au vu de ce qui précède, il convient de conclure à une capacité de travail de 0% du 1er juillet 2006 au 16 avril 2007 - date à partir de laquelle l'état de santé de l'assuré s’est progressivement amélioré jusqu'à sa sortie de la CRR, où lui a finalement été reconnu une aptitude de 100% dans une activité adaptée.</w:t>
      </w:r>
    </w:p>
    <w:p>
      <w:r>
        <w:rPr>
          <w:b/>
        </w:rPr>
        <w:t>E. 10</w:t>
      </w:r>
    </w:p>
    <w:p>
      <w:r>
        <w:t>Reste à déterminer le degré d’invalidité du recourant. Pour ce faire, il convient tout d’abord d’examiner si la méthode appliquée par l’intimé était correcte. 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w:t>
      </w:r>
    </w:p>
    <w:p>
      <w:r>
        <w:t>A/1235/2010 - 14/21 - n’était pas invalide (cf. art. 16 LPGA en vigueur depuis le 1er janvier 2003).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ATF 128 V 174).</w:t>
      </w:r>
    </w:p>
    <w:p>
      <w:r>
        <w:t>b) Si l'on ne peut déterminer ou évaluer sûrement les deux revenus en cause, il faut, en s'inspirant de la méthode spécifique pour personnes sans activité lucrative (du 1er janvier 2004 au 31 décembre 2007: art. 28 al. 2bis LAI en corrélation avec les art. 27 RAI et 8 al. 3 LPGA; depuis le 1er janvier 2008: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et les références). c)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w:t>
      </w:r>
    </w:p>
    <w:p>
      <w:r>
        <w:t>A/1235/2010 - 15/21 - distinguer la part du revenu qu'il faut attribuer à ces facteurs - étrangers à l'invalidité - et celle qui revient à la propre prestation de travail de l'assuré (arrêts I 83/97 du 16 octobre 1997 consid. 2c, in VSI 1998 p. 121, et I 432/97 du 30 mars 1998 consid. 4a, in VSI 1998 p. 255 ; voir également Arrêt ).</w:t>
      </w:r>
    </w:p>
    <w:p>
      <w:r>
        <w:rPr>
          <w:b/>
        </w:rPr>
        <w:t>E. 11</w:t>
      </w:r>
    </w:p>
    <w:p>
      <w:r>
        <w:t>En l’espèce, l’intimé a appliqué la méthode extraordinaire. La Cour de céans constate que les documents comptables de la société ne constituent effectivement pas une base fiable pour déterminer l’incapacité de gain du recourant, dans la mesure où il n’est pas possible de distinguer la part de revenu due uniquement à l'activité de l'assuré de celle imputable à des facteurs étrangers à l’invalidité. Les produits d’exploitation de la société ayant varié de plus de 20% entre 2002 et 2005 - vraisemblablement en raison d’une situation conjoncturelle fluctuante -, il est ainsi difficile d’établir avec précision quel était le revenu réalisé par l'assuré avant son accident. Qui plus est, la société a dû faire face à des charges inhabituelles en 2007 (personnel engagé puis licencié). Enfin, les comptes d'exploitation 2007 et 2008 comprennent des produits exceptionnels (prestations d’assurance, notamment). Partant, attendu que des éléments étrangers à l’invalidité ont influencé les revenus du recourant, c’est à juste titre que la méthode extraordinaire d’évaluation de l’invalidité a été appliquée par l’intimé.</w:t>
      </w:r>
    </w:p>
    <w:p>
      <w:r>
        <w:rPr>
          <w:b/>
        </w:rPr>
        <w:t>E. 12</w:t>
      </w:r>
    </w:p>
    <w:p>
      <w:r>
        <w:t>Il convient encore d’examiner si le calcul du taux d’invalidité a été correctement effectué et ce, en tenant compte de l’obligation du recourant de réorganiser son emploi du temps au sein de son entreprise dès le 30 juillet 2008. 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I 750/04 du 5 avril</w:t>
      </w:r>
    </w:p>
    <w:p>
      <w:r>
        <w:t>A/1235/2010 - 16/21 - 2006 consid. 5.3, in SVR 2007 IV n° 1 p. 1; I 11/00 du 22 août 2001 consid. 5a/bb, in VSI 2001 p. 274).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p. 32; MARC HÜRZELER, Prävention im Haftpflicht- und Sozialversicherungsrecht, in Prävention im Recht, 2007, p. 172 sv.).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b) Selon l’art. 28 al. 1er LAI dans sa teneur en vigueur du 1er janvier 2004 au 31 décembre 2007 (art. 28 al. 2 LAI dans sa teneur dès le 1er janvier 2008), l’assuré a droit à une rente entière s’il est invalide à 70% au moins, à trois quarts de rente s’il est invalide à 60% au moins, à une demi-rente s’il est invalide à 50% au moins ou à un quart de rente s’il est invalide à 40% au moins.</w:t>
      </w:r>
    </w:p>
    <w:p>
      <w:r>
        <w:t>A/1235/2010 - 17/21 - Selon l'art. 29 al. 1 let b LAI en vigueur jusqu’au 31 décembre 2007, le droit à la rente au sens de l'art. 28 LAI prend naissance au plus tôt à la date à partir de laquelle l’assuré a présenté, en moyenne, une incapacité de travail de 40 % au moins pendant une année sans interruption notable. c) En vertu de l’art. 88a al. 1 du règlement du 17 janvier 1961 sur l’assurance- invalidité en vigueur depuis le 1er janvier 2004 (RS 831.201 ;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13</w:t>
      </w:r>
    </w:p>
    <w:p>
      <w:r>
        <w:t>a) Par décision litigieuse du 23 février 2010, l’intimé a octroyé au recourant une demi-rente d’invalidité du 1er juillet 2007 au 30 juillet 2008, date à laquelle elle a été supprimée. Il a précédemment été déterminé que la capacité de travail de l’assuré était de 0% dans toutes activités lucratives durant la période allant du 1er juillet 2006 au 16 avril 2007, puis de 30% dans une activité adaptée, soit essentiellement dans une activité administrative, jusqu’au 30 juillet 2008, et depuis lors de 100% dans une telle activité adaptée. Ces éléments ont tant été retenus par le SMR que par l’intimé dans la décision litigieuse. b) En ce qui concerne la période du 16 avril 2007 au 30 juillet 2008, aucune mesure réorganisationnelle n’était exigible du recourant et seule une activité administrative à hauteur de 30% était susceptible d’être exercée par celui-ci. La comparaison des champs d’activité avec pondération donne ainsi les résultats suivants :</w:t>
      </w:r>
    </w:p>
    <w:p>
      <w:r>
        <w:t>Champs d'activité Pondération sans handicap Pondération avec handicap Taux d'incapacité Direction 30% 30% 0% Travaux sanitaires et plomberie 60% 0% 100% Surveillance des chantiers 10% 0% 100% Total 100% 30%</w:t>
      </w:r>
    </w:p>
    <w:p>
      <w:r>
        <w:t>A/1235/2010 - 18/21 - Au vu des éléments qui précèdent, la Cour de céans remarque que les pondérations avec handicap retenues par l’enquêteur de l’intimé sont erronées pour ce qui est du champ d’activité « surveillance des chantiers » (pièce 78 intimé, page 7). En effet, alors même qu’il avait admis, conformément aux données médicales, que le recourant était uniquement actif à 30% dans la partie administrative de son activité, il a considéré qu’en sus d’une activité de direction à 30%, le recourant pouvait également effectuer une activité de surveillance de chantier à un taux de 10%, avec toutefois, une diminution de la capacité de travail de 10%. Le raisonnement de l’enquêteur revient à dire que le recourant pouvait exercer une activité à un taux de 39%, alors même que sa capacité de travail n’était que de 30% durant la période en question. En outre, il sied de constater que pour procéder à son calcul, l’intimé s’est fondé sur la Circulaire de l’OFAS concernant l’invalidité et l’impotence (chiffre 3115 valable dès le 1er janvier 2004 et 3106 valable dès le 1er janvier 2008), méthode dont il n’y a pas lieu de s’écarter en l’espèce. La comparaison des revenus doit être effectuée en se plaçant en 2007, année durant laquelle le droit à la rente du recourant prend naissance (art. 29 al. 1 let b LAI en vigueur jusqu’au 21 décembre 2007. Le revenu sans invalidité de 76'189 fr. que l’intimé a calculé selon l’Enquête suisse sur la structure des salaires 2006 (ci-après ESS ; TA7) n’est pas critiqué par le recourant. Toutefois, il sera relevé que le revenu mensuel pour le champ d’activité « direction » est effectivement basé sur le tableau TA7, chiffre 20, niveau 3 (homme), mais ce revenu mensuel de 7'824 fr. n’a été adapté ni à la durée hebdomadaire ordinaire du travail en 2007, laquelle est de 41.7 heures, ni à l’indice suisse des salaires nominaux (ISS 2006 : 2014 et ISS 2007 : 2049). En tenant compte de ces paramètres, on parvient à un revenu mensuel sans invalidité pour le champ « direction » de 8'298 francs. Ainsi, le revenu annuel pour le champ « direction » est de 29'873 fr. (8'298 x 12 x 30/100). Ajouté aux revenus sans invalidité annuels des champs « travaux sanitaire et plomberie » et « surveillance des chantiers », lesquels ont en revanche été adaptés, le revenu sans invalidité s’élève à 77'895 fr. (29'873 + 41'162 + 6'860). Quant au revenu d’invalide, il convient uniquement de tenir compte du revenu annuel pour le champ d’activité « direction » en se fondant à nouveau sur les ESS 2006, soit 99'576 fr. (8'298 x 12). La capacité de travail du recourant dans cette activité étant de 30%, son revenu d’invalide est de 29'873 fr. (99'576 x 30/100).</w:t>
      </w:r>
    </w:p>
    <w:p>
      <w:r>
        <w:t>La comparaison des revenus met ainsi en exergue un taux d’invalidité de 62%, étant précisé que le taux d’invalidité est arrondi au pour cent supérieur (cf. ATF 130 V 122). Il donne droit au recourant à un trois-quarts de rente dès le 1er juillet 2007 (art. 29 al. 1 let. b LAI en vigueur jusqu’au 31 décembre 2007).</w:t>
      </w:r>
    </w:p>
    <w:p>
      <w:r>
        <w:t>A/1235/2010 - 19/21 - c) En ce qui concerne la période postérieure au 30 juillet 2008, il convient tout d’abord d’examiner les mesures de réorganisation exigibles du recourant. L’intimé a retenu que le recourant pouvait augmenter de 20% ses tâches administratives (de 30% à 50%) et qu’il exerçait une surveillance sur les chantiers à 10%, étant précisé que sa capacité de travail était diminuée de 10% dans ce champ d’activité, dans la mesure où il ne pouvait plus exercer toutes les tâches y relatives, lesquelles consistaient notamment à monter sur des échelles, afin de vérifier la bonne exécution de certains travaux (pièce 78 intimé, page 4). En outre, l’intimé a établi que durant le reste de son temps (40%), le recourant était présent au bureau, sans toutefois avoir d’activité concrète, de sorte qu’aucun revenu n’était retenu pour ces 40% de présence. Il a conclu qu’en réorganisant de la sorte son activité, le recourant avait respecté son obligation de diminuer le dommage, et ce attendu que cette réorganisation permettait d’exclure le droit du recourant à une rente d’invalidité. Le recourant a quant à lui soutenu, lors de l’audience 26 août 2010, que son activité se décomposait de la manière suivante : 40% pour la direction et l’administration et 60% pour la surveillance sur les chantiers. Dans la mesure où il apparaît d’emblée que les déclarations du recourant ne permettront pas de mettre en exergue un degré d’invalidité plus favorable que celui auquel est parvenu l’intimé, il sied d’examiner si le calcul de celui-ci a été correctement effectué. La comparaison des champs d’activité avec pondération donne ainsi les résultats suivants : Champs d'activité Pondération sans handicap Pondération avec handicap Taux d'incapacité Direction 30% 50% 0% Travaux sanitaires et plomberie 60% 0% 100% Surveillance des chantiers 10% 10% 10% Total 100% 60%</w:t>
      </w:r>
    </w:p>
    <w:p>
      <w:r>
        <w:t>La comparaison des revenus doit être effectuée, pour cette seconde période, en se plaçant en 2008. En ce qui concerne le revenu sans invalidité, il y a lieu d’adapter les revenus 2007 à l’horaire hebdomadaire de travail en 2008, lequel est de 41.6 heures et à l’ISS</w:t>
      </w:r>
    </w:p>
    <w:p>
      <w:r>
        <w:t>A/1235/2010 - 20/21 - (2007 : 2049 et 2008 : 2092). En tenant compte de ces paramètres, le revenu annuel pour le champ « direction » est de 30'427 fr. (101'422 x 30/100), celui pour le champ « travaux sanitaires » de 41’926 fr. (69’876 x 60/100) et celui pour le champ « surveillance des chantiers » de 6'988 fr. (69’876 x 10/100). Partant, le revenu sans invalidité s’élève à 79'341 francs. Quant au revenu d’invalide, il y aura lieu de prendre en considération les revenus annuels des différents champs d’activités, soit 101'422 fr. pour l’activité de direction et 69'876 fr. et la surveillance de chantier. En tenant compte d’une capacité de travail de 50% dans le premier champ et de 10% (avec une diminution de capacité de 10%), dans le second champ d’activité, le revenu d’invalide est de 57'000 fr. (101'422 x 50/100 + 69'876 x 9/100).</w:t>
      </w:r>
    </w:p>
    <w:p>
      <w:r>
        <w:t>En comparant les revenus sans invalidité et avec invalidité, le taux d’invalidité est ainsi de 28%. Ce taux ne donne pas droit à une rente d’invalidité (art. 28 al. 2 LAI en vigueur dès le 1er janvier 2008). d) Ainsi, dans la mesure où l’état de santé du recourant s’est amélioré dès le 30 juillet 2008, le recourant a droit à un trois-quarts de rente du 1er juillet 2007 au 31 octobre 2008 (art. 88a al. 1 RAI). Le recours devra ainsi être admis dans cette mesure.</w:t>
      </w:r>
    </w:p>
    <w:p>
      <w:r>
        <w:rPr>
          <w:b/>
        </w:rPr>
        <w:t>E. 14</w:t>
      </w:r>
    </w:p>
    <w:p>
      <w:r>
        <w:t>Le recourant obtenant partiellement gain de cause, l’intimé sera condamné à verser un émolument de 200 fr. (art. 69 al. 1bis LAI)</w:t>
      </w:r>
    </w:p>
    <w:p>
      <w:r>
        <w:t>A/1235/2010 - 21/21 -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