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ATAS/139/2010 vom 12. Februar 2010</w:t>
      </w:r>
    </w:p>
    <w:p>
      <w:r>
        <w:t>GE Cour de justice, 2010-02-12, FR</w:t>
      </w:r>
    </w:p>
    <w:p>
      <w:r>
        <w:rPr>
          <w:b/>
        </w:rPr>
        <w:t xml:space="preserve">Quelle: </w:t>
      </w:r>
      <w:r>
        <w:t>https://mcp.opencaselaw.ch/entscheid/ge_gerichte_ATAS_139_2010</w:t>
      </w:r>
    </w:p>
    <w:p>
      <w:r>
        <w:t>FR: GE_GERICHTE ATAS/139/2010 du 12 février 2010</w:t>
      </w:r>
    </w:p>
    <w:p>
      <w:r>
        <w:t>IT: GE_GERICHTE ATAS/139/2010 del 12 febbraio 2010</w:t>
      </w:r>
    </w:p>
    <w:p>
      <w:pPr>
        <w:pStyle w:val="Heading2"/>
      </w:pPr>
      <w:r>
        <w:t>Erwägungen</w:t>
      </w:r>
    </w:p>
    <w:p>
      <w:r>
        <w:rPr>
          <w:b/>
        </w:rPr>
        <w:t>E. 1</w:t>
      </w:r>
    </w:p>
    <w:p>
      <w:r>
        <w:t>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du défendeur, au sens des art. 35ss LAMal et 38ss de l’ordonnance sur l’assurance-maladie du 27 juin 1995 (OAMal)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Les demandes des demanderesses respectent les conditions de forme prescrites par les art. 64 al. 1 et 65 de la loi sur la procédure administrative, du 12 septembre 1985 (LPA ; RS E 5 10). Leurs demandes sont dès lors recevables.</w:t>
      </w:r>
    </w:p>
    <w:p>
      <w:r>
        <w:rPr>
          <w:b/>
        </w:rPr>
        <w:t>E. 3</w:t>
      </w:r>
    </w:p>
    <w:p>
      <w:r>
        <w:t>L'objet du litige est la question de savoir si la pratique du défendeur en 2003 et en 2004 respecte le principe de l'économicité.</w:t>
      </w:r>
    </w:p>
    <w:p>
      <w:r>
        <w:rPr>
          <w:b/>
        </w:rPr>
        <w:t>E. 4</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t>A/2005/2005 - 23/34 -</w:t>
      </w:r>
    </w:p>
    <w:p>
      <w:r>
        <w:rPr>
          <w:b/>
        </w:rPr>
        <w:t>E. 5</w:t>
      </w:r>
    </w:p>
    <w:p>
      <w:r>
        <w:t>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Il convient à cet égard de préciser que le Tribunal fédéral a récemment jugé qu'il n'était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b) En l'espèce, les statistiques de Santésuisse concernant l'année 2003 ont été portées à la connaissance des demanderesses au plus tôt le 4 juin 2004, date qui correspond à celle de la préparation des données figurant sur ces statistiques. Le défendeur n'a en effet pas produit de pièces établissant une publication antérieure de celles-ci. Selon l'art. 20 al. 3 de la loi fédérale sur la procédure administrative, du 20 décembre 1968 (PA ; RS 172.021), lorsque le délai échoit un samedi, un dimanche ou un jour férié selon le droit fédéral ou cantonal, son terme est reporté au premier jour ouvrable qui suit.</w:t>
      </w:r>
    </w:p>
    <w:p>
      <w:r>
        <w:t>A/2005/2005 - 24/34 - Dans la mesure où le délai d'un an arrive in casu à échéance le 4 juin 2005, lequel est un samedi, il est reporté au lundi 6 juin suivant. Ainsi, la demande déposée le 6 juin 2005 a été introduite à temps. En 2004, les statistiques de Santésuisse ont été établies le 28 juillet 2005, selon la date qui figure sur celles-ci. Par conséquent, la seconde demande déposée le 28 juillet 2006 respecte également le délai légal d'une année. Il s'ensuit que les prétentions des demanderesses ne sont pas périmées.</w:t>
      </w:r>
    </w:p>
    <w:p>
      <w:r>
        <w:rPr>
          <w:b/>
        </w:rPr>
        <w:t>E. 6</w:t>
      </w:r>
    </w:p>
    <w:p>
      <w:r>
        <w:t>Conformément à l’art. 56 al. 2 let. b LAMal, les assureurs dans le système du tiers payant ont qualité pour demander la restitution.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rPr>
          <w:b/>
        </w:rPr>
        <w:t>E. 7</w:t>
      </w:r>
    </w:p>
    <w:p>
      <w:r>
        <w:t>a) En l’espèce, il convient de constater, concernant l'année 2003, que les caisses HOTELA et EGK Caisse de santé n'ont remboursé aucune prestation pour les patients du défendeur. Elles doivent dès lors être déboutées de leurs demandes concernant 2003. S'agissant des caisses-maladie faisant parties du Groupe mutuel, elles ne sont pas mentionnées nommément en tant que demanderesses, la première demande indiquant uniquement leur fédération. La prétention appartenant aux assureurs- maladie, l'indication du seul Groupe mutuel est cependant insuffisant. Celui-ci sera par conséquent également débouté de sa demande. Il appert en outre que bon nombre de caisses ont remboursé des prestations pour les patients du défendeur en 2003, alors qu'elles ne figurent pas parmi les demanderesses du groupe I. Ces dernières ne sauraient dès lors réclamer la restitution de la totalité de la somme éventuellement facturée en violation du principe de l'économicité. Il résulte du tableau relatif aux assureurs-maladie ayant remboursé des prestations en 2003 (pièce 97 demanderesses) que les demanderesses du groupe I, à l'exception</w:t>
      </w:r>
    </w:p>
    <w:p>
      <w:r>
        <w:t>A/2005/2005 - 25/34 - d'HOTELA, d'EGK Caisse de santé et du Groupe mutuel, ont remboursé 797'733 fr. (frais médicaux et médicaments au cabinet) sur un total remboursé de 1'259'828 fr., ce qui représente 63,32% du total. Elles n'ont ainsi la légitimation active que pour réclamer ce pourcentage de la somme éventuellement due en raison d'une polypragmasie. b) En ce qui concerne l'année 2004, le Tribunal de céans laissera ouverte la question de la qualité pour agir des demanderesses du groupe II, au vu des considérations qui suivent (cf. infra consid. 16).</w:t>
      </w:r>
    </w:p>
    <w:p>
      <w:r>
        <w:rPr>
          <w:b/>
        </w:rPr>
        <w:t>E. 8</w:t>
      </w:r>
    </w:p>
    <w:p>
      <w:r>
        <w:t>a) Pour établir l’existence d’une polypragmasie, le Tribunal fédéral des assurances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ATF 98 V 198).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c) Lorsque l'existence de particularités du cabinet médical est établie, la jurisprudence admet l'utilisation de deux méthodes. La première consiste à ajouter un pourcentage supplémentaire à la marge de tolérance admise. Il est cependant également possible de déterminer les particularités spécifiques et de les quantifier, puis de déduire le montant ainsi déterminé des coûts directs totaux du cabinet médical, tels qu'ils résultent des statistiques RSS (ATF non publié du 30 juillet 2001, cause K 50/00, consid. 4b/bb et les références y citées). A cet égard, il n'est pas nécessaire de contrôler toutes les positions de l'ensemble des factures du groupe</w:t>
      </w:r>
    </w:p>
    <w:p>
      <w:r>
        <w:t>A/2005/2005 - 26/34 - des patients pour lesquels un surcoût est allégué (ATF précité, consid. 5a; ATF 119 V 453, consid. 4b). d) Selon la jurisprudence récente du Tribunal fédéral des assurances,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w:t>
      </w:r>
    </w:p>
    <w:p>
      <w:r>
        <w:rPr>
          <w:b/>
        </w:rPr>
        <w:t>E. 9</w:t>
      </w:r>
    </w:p>
    <w:p>
      <w:r>
        <w:t>En l’occurrence, le défendeur conteste l’utilisation des statistiques de Santésuisse en ce qui le concerne. En premier lieu, il met en cause leur fiabilité. La valeur probante des statistiques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Quant au fait que les chiffres de ces statistiques ne coïncideraient in casu pas avec les chiffres réels du cabinet du défendeur pour les années 2003 et 2004, s'agissant du chiffre d’affaires et du nombre de ses patients, il est à relever que cette différence de chiffres ne constitue pas un indice pour une erreur dans les statistiques, dès lors que celles-ci ne sont pas établies sur la base du chiffre d’affaires du cabinet de l’année en cause, ni du nombre des patients qui ont consulté le médecin, mais sur la base des factures remboursées par les assurances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soient inférieurs aux chiffres ressortant de la comptabilité du cabinet, dans la mesure où certaines factures ne parviennent pas à l’assurance, notamment lorsque leur montant est inférieur à la franchise contractée. Il est vrai que certaines factures, d'un montant modeste, échappent aux statistiques, du fait qu'elles sont inférieures à la franchise contractée, ce qui peut conduire à une</w:t>
      </w:r>
    </w:p>
    <w:p>
      <w:r>
        <w:t>A/2005/2005 - 27/34 - élévation du coût moyen par patient. Toutefois, ce problème se pose de la même façon à tous les médecins du groupe de comparaison, de sorte qu'aucun inconvénient ne peut en résulter pour le défendeur.</w:t>
      </w:r>
    </w:p>
    <w:p>
      <w:r>
        <w:rPr>
          <w:b/>
        </w:rPr>
        <w:t>E. 10</w:t>
      </w:r>
    </w:p>
    <w:p>
      <w:r>
        <w:t>S'agissant de la question de l'applicabilité de la méthode statistique dans le cas d'espèce, le défendeur fait valoir que sa pratique médicale ne saurait être comparée aux médecins du groupe de comparaison, dans la mesure où il pratique notamment énormément d'actes chirurgicaux. A l'appui de ses dires, il a produit, pour les mois d'octobre et novembre 2003, ses notes d'honoraires relatives aux excisions pratiquées. Il allègue à cet égard avoir pratiqué 60 excisions en octobre 2003 et 118 en novembre 2003 pour un montant total de 123'654 fr. 55. Ces opérations sont établies par pièce. Cependant, selon les calculs du Tribunal de céans, elles ne représentent qu'un coût de 108'654 fr. 95 et concernent 170 patients différents. En effet, certaines factures ont été produites à double, voire à triple (factures 1/132366-46347, 1/132513-7319, 1/133190-2814, 1/132891-40787, 1/132404-26313, 1/132896-16067, 1/133205-4971 et 1/132431- 46467). Le coût moyen relatif à ces cas est de l'ordre de 639 fr. 10, soit sensiblement supérieur au coût moyen par malade en 2003 de 246 fr. 98, selon les statistiques RSS. A cet égard, le témoin I__________ a déclaré que pas tous les dermatologues ne font des excisions à Genève. Selon ce médecin, les mélanomes ont par ailleurs énormément augmenté ces dernières années, de sorte qu'il ne s'étonne pas du nombre d'excisions pratiquées par le Dr P__________ en 2003. Le Dr K__________ a indiqué que seulement sept ou huit personnes opéraient des pathologies plus lourdes à Genève et ont une formation chirurgicale. Par ailleurs, selon ce même témoin, les frais d'un cabinet de dermatologue qui opère sont plus élevés que ceux d'un dermatologue qui n'opère pas. Le défendeur dispose également d'appareils spéciaux, puissants et coûteux que d'autres dermatologues ne possèdent pas, comme cela est ressorti des enquêtes (cf. les déclarations des témoins I__________ et K__________). Le témoin K__________ a notamment précisé que seulement trois ou quatre dermatologues possèdent des lasers à Genève. Le défendeur est le seul, avec le Dr Maurice A__________, à posséder un laser CO2 et un laser vasculaire. Au vu des ces éléments, le Tribunal de céans admet que le cabinet du défendeur présente des particularités qui le rendent difficilement comparable aux autres dermatologues du groupe de comparaison.</w:t>
      </w:r>
    </w:p>
    <w:p>
      <w:r>
        <w:rPr>
          <w:b/>
        </w:rPr>
        <w:t>E. 11</w:t>
      </w:r>
    </w:p>
    <w:p>
      <w:r>
        <w:t>Le témoin I__________ a déclaré que le défendeur était certainement le médecin le plus contrôlé en Suisse et qu'il a contrôlé un grand nombre de factures de ce dernier par semaine, lesquelles étaient toutes conformes à la loi. Cependant, comme le font valoir à raison les demanderesses, le médecin-conseil contrôle des factures de cas</w:t>
      </w:r>
    </w:p>
    <w:p>
      <w:r>
        <w:t>A/2005/2005 - 28/34 - en cas et non pas une pratique médicale dans son ensemble. Par ailleurs, il semble que le souci des caisses-maladies soit surtout de faire une séparation stricte entre les soins esthétiques et les soins pour maladie, les premiers n'étant pas à la charge de la LAMal. Partant, le Tribunal de céans juge insuffisant le seul témoignage du Dr I__________ pour admettre que le défendeur a eu une pratique conforme au principe de l'économicité.</w:t>
      </w:r>
    </w:p>
    <w:p>
      <w:r>
        <w:rPr>
          <w:b/>
        </w:rPr>
        <w:t>E. 12</w:t>
      </w:r>
    </w:p>
    <w:p>
      <w:r>
        <w:t>Cela étant, le Tribunal de céans estime qu'il y a lieu de procéder in casu à l'application de la méthode mixte et de déduire du chiffre d'affaires déterminant le coût relatif aux patients ayant fait l'objet d'excisions en 2003. Selon le défendeur, il convient d'extrapoler les coûts y afférents des mois d'octobre et de novembre 2003 par six pour obtenir la moyenne du coût des traitements chirurgicaux pendant toute l'année. De l'avis du Tribunal de céans, il faut toutefois tenir compte, en se fondant notamment sur les déclarations du défendeur (cf. procès-verbal du 3 septembre 1998 de la Commission mixte AMG/FGAM), qu'il consacre, en moyenne au moins, un mois et demi par an à ses vacances, aux jours fériés et à la formation continue. Selon les calculs du Tribunal de céans, comme relevé ci-dessus le coût des excisions était de 108'654 fr. 95. Il sied de diviser cette somme par 2, puis de la multiplier par 10,5. On obtient ainsi un coût annuel de 570'438 fr. en chiffres ronds. Ce coût représente presque 45,75 % du chiffre d'affaires du défendeur de 1'246'651 fr., selon les pièces qu'il a produites, et concerne 892,5 patients (170 patients : 2 x 10,5), soit 28,47% de ses patients dont le nombre total est de 3'134, selon le défendeur. Il convient dès lors de considérer que 54,25 % du chiffre d'affaires ont trait aux cas n'impliquant pas des opérations coûteuses. Le nombre des patients y relatif est de 71,53 %. Ces pourcentages étant établis sur la base des coûts directs du défendeur, il y a lieu de les transposer également sur les coûts directs ressortant des statistiques RSS 2003. 54,25 % du chiffre d'affaires de 1'259'828 fr. représentent 683'456 fr. 70 pour 1'706 patients, soit 71,53 % des 2'385 patients ressortant des statistiques RSS. Ainsi, le coût moyen pour ces patients, n'ayant pas fait l'objet d'interventions chirurgicales, est de l'ordre de 400 fr. 60. En tenant compte que l'indice des coûts totaux du défendeur était en 2003 inférieur de 5,14% de l'indice des coûts directs, il y a lieu de prendre seulement 94,86% de cette somme, soit 380 fr. Selon les statistiques RSS, la moyenne des coûts directs était en 2003 de 246 fr. 98. En éliminant du groupe de comparaison établi par Santésuisse pour 2003 les médecins avec un chiffre d'affaires inférieur à 100'000 fr., soit 13 médecins, le total des coûts directs s'élève à 10'908'956 fr. pour 44'288 malades. Il convient à cet égard de relever qu'avant l'introduction du TARMED, en date du 1er janvier 2004, les médecins opérant en clinique facturaient leurs prestations sous leur propre nom</w:t>
      </w:r>
    </w:p>
    <w:p>
      <w:r>
        <w:t>A/2005/2005 - 29/34 - (cf. ATA/1684/2009, notamment consid. 9c). Il n'y a dès lors pas lieu de faire une distinction en 2003 entre les dermatologues opérant uniquement en cabinet et ceux qui opèrent en tout ou partie en clinique. Ainsi, le coût direct moyen par patient du groupe de comparaison restreint est légèrement inférieur à celui ressortant des statistiques et s'établit à 246 fr. 30. Par rapport à ce coût, le coût moyen par patient du défendeur de 380 fr. représente un indice de 154,28. Dès lors qu'il est fait application de la méthode mixte, le Tribunal de céans estime qu'il n'y a pas lieu d'accorder au défendeur une marge de tolérance supérieure à 20% par rapport au coût moyen des patients n'ayant pas fait l'objet d'opérations chirurgicales. Partant, il y a lieu d'admettre que son coût moyen dépasse de 34,28 % le coût moyen admissible. Par rapport au coût moyen direct de 246 fr. 30, la différence représente 84 fr. 40. Multiplié par les 1'706 patients concernés, le surcoût s'élève à 143'986 fr. 40. Dans la mesure où les demanderesses du groupe I ne représentent que 63,32 % du total des prestations remboursées par tous les assureurs-maladie pour les patients du défendeur, seul ce pourcentage peut lui être réclamé dans la présente procédure, soit 91'172 fr. 20.</w:t>
      </w:r>
    </w:p>
    <w:p>
      <w:r>
        <w:rPr>
          <w:b/>
        </w:rPr>
        <w:t>E. 13</w:t>
      </w:r>
    </w:p>
    <w:p>
      <w:r>
        <w:t>Comme relevé ci-dessus, il y a par ailleurs lieu de déduire, de la somme dépassant 120% de l'indice moyen, les factures admises par les demanderesses du groupe I et remboursées en 2003. Concernant ces factures, le défendeur a produit les pièces 7 à 87 (chargé du</w:t>
      </w:r>
    </w:p>
    <w:p>
      <w:r>
        <w:rPr>
          <w:b/>
        </w:rPr>
        <w:t>E. 17</w:t>
      </w:r>
    </w:p>
    <w:p>
      <w:r>
        <w:t>a) Pour l'année 2004, le défendeur n'a pas donné de précisions concernant les interventions chirurgicales. Toutefois, dans la mesure où il a déclaré ne pas avoir changé sa pratique pendant cette année-là, il y a lieu d'admettre que 45,75% de son chiffre d'affaires concernent des interventions chirurgicales pour 28,47% de ses patients. Il s'agit ainsi d'établir quel est le coût moyen des 71,53% patients restants par rapport à 54,25 % du chiffre d'affaires des statistiques RSS. 54,25% de ce chiffre d'affaires de 926'316 fr. (coûts directs) représentent 502'526 fr. 40 et 71,53 % des 2'332 patients, selon les statistiques RSS, 1'668</w:t>
      </w:r>
    </w:p>
    <w:p>
      <w:r>
        <w:t>A/2005/2005 - 32/34 - patients. Ainsi, le coût moyen pour ces patients s'établit à 301 fr. 30. Il n'y a pas lieu de diminuer ce coût pour tenir compte de l'indice des coûts totaux, dès lors que celui-ci était supérieur à l'indice des coûts directs en 2004. Le coût direct moyen par patient en 2004 était de 231 fr. 40, selon les statistiques RSS. En ne tenant compte que des dermatologues à Genève avec un chiffre d'affaires supérieur à 100'000 fr., le coût moyen est encore inférieur, soit de 230 fr. 90. Ainsi, l'indice du défendeur pour les patients sans intervention chirurgicale est de 130,48. Il convient toutefois de tenir compte de ce que, dès l'introduction du TARMED en 2004, les interventions chirurgicales des médecins effectuées en tout ou partie dans un établissement hospitalier, ce qui est le cas de plusieurs dermatologues à Genève, sont facturées par cet établissement. Cela a pour conséquence de baisser le coût moyen par patient de ces médecins, dès lors qu'il est admis que les interventions chirurgicales coûtent plus chères. Partant, dans la mesure où le défendeur ne pratique des interventions de ce genre qu'en cabinet, il y a lieu de lui appliquer une marge de tolérance de 30% pour 2004. Il s'avère ainsi qu'il n'a dépassé pour cette dernière année l'indice admissible de 130 que de façon insignifiante. Une polypragmasie ne peut donc être retenue pour 2004.</w:t>
      </w:r>
    </w:p>
    <w:p>
      <w:r>
        <w:rPr>
          <w:b/>
        </w:rPr>
        <w:t>E. 18</w:t>
      </w:r>
    </w:p>
    <w:p>
      <w:r>
        <w:t>Cela étant, la première demande sera partiellement admise et le défendeur condamné à rembourser aux demanderesses, prises conjointement et solidairement, la somme de 70'072 fr.</w:t>
      </w:r>
    </w:p>
    <w:p>
      <w:r>
        <w:rPr>
          <w:b/>
        </w:rPr>
        <w:t>E. 19</w:t>
      </w:r>
    </w:p>
    <w:p>
      <w:r>
        <w:t>La procédure par-devant le Tribunal arbitral n'est pas gratuite (cf. art. 46 de la loi cantonale d'application de la LAMal du 29 mai 1997- LaLAMal; RS J 3 05). Les frais du Tribunal, par 10'424 fr., dont 454 fr. 50 de taxes de témoins, et un émolument de 300 fr., sont mis à charge de la demanderesses, qui succombent en majeure partie, à raison de 8'043 fr. (3/4) et du défendeur à raison de 2'681 fr. (1/4). En outre, les demanderesses seront condamnées à verser au défendeur une indemnité à titre de participation à ses frais et dépens, fixée en l'occurrence à 5’000 fr.</w:t>
      </w:r>
    </w:p>
    <w:p>
      <w:r>
        <w:t>A/2005/2005 - 33/34 -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