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ATAS/1397/2008 vom 28. November 2008</w:t>
      </w:r>
    </w:p>
    <w:p>
      <w:r>
        <w:t>GE Cour de justice, 2008-11-28, FR</w:t>
      </w:r>
    </w:p>
    <w:p>
      <w:r>
        <w:rPr>
          <w:b/>
        </w:rPr>
        <w:t xml:space="preserve">Quelle: </w:t>
      </w:r>
      <w:r>
        <w:t>https://mcp.opencaselaw.ch/entscheid/ge_gerichte_ATAS_1397_2008</w:t>
      </w:r>
    </w:p>
    <w:p>
      <w:r>
        <w:t>FR: GE_GERICHTE ATAS/1397/2008 du 28 novembre 2008</w:t>
      </w:r>
    </w:p>
    <w:p>
      <w:r>
        <w:t>IT: GE_GERICHTE ATAS/1397/2008 del 28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décision litigieuse est postérieure à l'entrée en vigueur de la LPGA ainsi qu'à l'entrée en vigueur, le 1er janvier 2004, des modifications de la loi fédérale sur l'assurance-invalidité du 21 mars 2003 (4ème révision). Par conséquent, du point de</w:t>
      </w:r>
    </w:p>
    <w:p>
      <w:r>
        <w:t>A/228/2008 - 5/8 -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w:t>
      </w:r>
    </w:p>
    <w:p>
      <w:r>
        <w:rPr>
          <w:b/>
        </w:rPr>
        <w:t>E. 3</w:t>
      </w:r>
    </w:p>
    <w:p>
      <w:r>
        <w:t>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Interjeté dans les forme et délai légaux (art. 56 à 60 LPGA), le recours est recevable.</w:t>
      </w:r>
    </w:p>
    <w:p>
      <w:r>
        <w:rPr>
          <w:b/>
        </w:rPr>
        <w:t>E. 5</w:t>
      </w:r>
    </w:p>
    <w:p>
      <w:r>
        <w:t>Est litigieuse en l’espèce la question de savoir si le recourant peut prétendre une rente de l’assurance-invalidité, singulièrement quel est le taux d’invalidité qu’il présente.</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A/228/2008 - 6/8 -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A/228/2008 - 7/8 - sociales, il y a lieu toutefois de poser des exigences sévères quant à l'impartialité de l'expert (ATF 125 V 353 consid. 3b/ee, ATFA non publié du 13 mars 2000, I 592/99, consid. b/ee).</w:t>
      </w:r>
    </w:p>
    <w:p>
      <w:r>
        <w:rPr>
          <w:b/>
        </w:rPr>
        <w:t>E. 7</w:t>
      </w:r>
    </w:p>
    <w:p>
      <w:r>
        <w:t>Le recourant soutient être dans l’incapacité totale d’exercer la moindre activité lucrative et allègue qu’à sa connaissance, des personnes atteintes du même mal que lui bénéficient des prestation de l’assurance-invalidité. Le Tribunal de céans ne saurait suivre l’argumentation du recourant pour les motifs suivants. Le recourant indique souffrir de douleurs abdominales et de migraines chroniques. Encore faut-il examiner si la maladie du côlon irritable dont est atteint l’assuré a des répercussions sur sa capacité de travail, ce qui n’est manifestement pas le cas en l’occurrence. Ainsi, le Dr O__________, médecin-traitant, a précisé que les douleurs sont toujours diffuses et minimes et le status presque normal, malgré une mobilisation "spectaculairement précautionneuse". Par ailleurs, les radiographies lombaires sont sans particularité et ne montrent ni trouble statique, ni trouble transitionnel, ni argument pour un canal lombaire étroit, ni trouble dégénératif, ni discopathie. Le médecin précise qu'il s'agit essentiellement d'un déconditionnement physique total, que le patient devrait faire un minimum de gymnastique, et qu’il n’y a pas le moindre motif justifiant un quelconque arrêt de travail. Au contraire, ce médecin préconise la reprise d’une activité lucrative. Le seul médecin a évoquer une incapacité de travail est la Dresse L___________ dont on soulignera cependant qu’elle a précisé répondre à cette question en se basant sur les dires du patient. . Enfin, aucune affection psychique n’a été évoquée. Dans ces circonstances, on retiendra que la capacité de travail du recourant est totalement préservée, de sorte que c’est à juste titre que l’intimé a nié son droit à des prestations de l’assurance-invalidité.</w:t>
      </w:r>
    </w:p>
    <w:p>
      <w:r>
        <w:rPr>
          <w:b/>
        </w:rPr>
        <w:t>E. 8</w:t>
      </w:r>
    </w:p>
    <w:p>
      <w:r>
        <w:t>L'émolument, fixé à 400 fr., est mis à la charge du recourant qui succombe (art. 69 al. 1 bis LAI).</w:t>
      </w:r>
    </w:p>
    <w:p>
      <w:r>
        <w:t>A/228/2008 - 8/8 -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