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ATAS/1393/2012 vom 20. November 2012</w:t>
      </w:r>
    </w:p>
    <w:p>
      <w:r>
        <w:t>GE Cour de justice, 2012-11-20, FR</w:t>
      </w:r>
    </w:p>
    <w:p>
      <w:r>
        <w:rPr>
          <w:b/>
        </w:rPr>
        <w:t xml:space="preserve">Quelle: </w:t>
      </w:r>
      <w:r>
        <w:t>https://mcp.opencaselaw.ch/entscheid/ge_gerichte_ATAS_1393_2012</w:t>
      </w:r>
    </w:p>
    <w:p>
      <w:r>
        <w:t>FR: GE_GERICHTE ATAS/1393/2012 du 20 novembre 2012</w:t>
      </w:r>
    </w:p>
    <w:p>
      <w:r>
        <w:t>IT: GE_GERICHTE ATAS/1393/2012 del 20 novembre 2012</w:t>
      </w:r>
    </w:p>
    <w:p>
      <w:pPr>
        <w:pStyle w:val="Heading2"/>
      </w:pPr>
      <w:r>
        <w:t>Erwägungen</w:t>
      </w:r>
    </w:p>
    <w:p>
      <w:r>
        <w:rPr>
          <w:b/>
        </w:rPr>
        <w:t>E. 32</w:t>
      </w:r>
    </w:p>
    <w:p>
      <w:r>
        <w:t>Le 11 septembre 2012, l'assurée a fait valoir ses observations et persiste intégralement dans les termes de son recours, s'agissant de son taux d'incapacité de travail qui est d'au moins 50%, du revenu sans invalidité qui devrait être de 63'878 fr. et du taux d'abattement qui devrait être de 25%. Elle prend acte par ailleurs que l'OAI conclut désormais au renvoi du dossier pour examen de mesures d'ordre professionnel.</w:t>
      </w:r>
    </w:p>
    <w:p>
      <w:r>
        <w:rPr>
          <w:b/>
        </w:rPr>
        <w:t>E. 33</w:t>
      </w:r>
    </w:p>
    <w:p>
      <w:r>
        <w:t>Ce courrier a été transmis à l'OAI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le recours est en conséquence recevable (art. 56 ss LPGA). 3. Le litige porte sur le droit de l'assurée à des prestations AI, étant précisé que l'OAI a proposé le renvoi du dossier pour examen de mesures d'ordre professionnel, ce dont la Cour de céans prend acte.</w:t>
      </w:r>
    </w:p>
    <w:p>
      <w:r>
        <w:t>A/2060/2012 - 8/16 - 4.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5. En l'espèce, l'OAI est entré en matière, et a rejeté la demande.</w:t>
      </w:r>
    </w:p>
    <w:p>
      <w:r>
        <w:t>A/2060/2012 - 9/16 - 6.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A/2060/2012 - 10/16 -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A/2060/2012 - 11/16 -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il s'agit de comparer les faits tels qu'ils se présentaient au moment de la dernière décision notifiée le 21 septembre 2009, et les circonstances régnant à l'époque de la décision de refus litigieuse, et plus particulièrement de déterminer s'il y a eu aggravation de l'état de santé. 10. Le SMR avait réalisé un examen rhumatologique le 10 décembre 2007, à l'issue duquel il avait constaté un léger syndrome lombaire non déficitaire dans le cadre d'un trouble statique, de discopathies étagées protrusives et de dysbalances musculaires. La capacité de travail exigible avait été fixée à 85% dans l'activité</w:t>
      </w:r>
    </w:p>
    <w:p>
      <w:r>
        <w:t>A/2060/2012 - 12/16 - habituelle et à 100% dans une activité adaptée, étant précisé que les limitations fonctionnelles impliquaient d'éviter les positions statiques prolongées debout, assise, en rotation-flexion du tronc et en porte-à-faux, ainsi que le bras droit au-delà de l'horizontal, limiter le port de charges à dix kilos occasionnellement et à cinq kilos en portant seulement avec le bras droit, proscrire le travail à la chaîne, ou sur machine vibrante. Par décision du 24 avril 2008, l'OAI avait sur la base de ces conclusions rejeté la demande de prestations. Par prononcé du 18 août 2009, confirmé le 21 septembre 2009, l'OAI avait considéré qu'aucun élément médical fondant une aggravation plausible de l'état de santé n'avait été mis en évidence et opposé un nouveau refus à l'assurée. 11. Dans le cadre de la présente demande de prestations AI, les médecins du SMR ont procédé à un examen clinique bidisciplinaire le 9 novembre 2011. Le médecin rhumatologue a relevé la présence d'omalgies bilatérales chroniques sur pathologie dégénérative de la coiffe des rotateurs bilatérale, un status après réinsertion de la coiffe et acromioplastie de l'épaule droite en 2006, un status après réinertion de la coiffe des rotateurs et acromioplastie gauche en 2010, ainsi que des lombalgies mécaniques dans un contexte de troubles dégénératifs mineurs débutants. Le psychiatre a considéré que l'épisode dépressif actuel moyen, sans syndrome somatique, était en soi non-incapacitant. Les médecins du SMR ont ainsi conclu que l'incapacité de travail était de 100% dans l'activité habituelle, depuis mars 2010, date à laquelle l'assurée a subi l'intervention chirurgicale au niveau de l'épaule gauche, et que dès octobre 2010, la capacité de travail résiduelle dans l'activité habituelle était de 50% et dans une activité adaptée de 100%. 12. La Cour de céans constate que les médecins du SMR ont examiné les points litigieux importants, que leur rapport se fonde sur des examens complets, qu'il prend également en considération les plaintes exprimées, qu'il a été établi en pleine connaissance du dossier (anamnèse), que la description des interférences médicales est claire et enfin que les conclusions sont bien motivées. Le rapport SMR du 9 novembre 2011 peut dès lors être considéré comme ayant pleine valeur probante. 13. Reste à examiner si les observations des médecins traitants permettraient de s'en écarter. La Dresse E__________ a indiqué le 15 août 2011 que l'assurée souffrait d'un trouble dépressif, épisode actuel moyen, au moins depuis 2008 environ, et que cela impliquait une impossibilité de reprendre le travail, quelle que soit l'activité envisagée.</w:t>
      </w:r>
    </w:p>
    <w:p>
      <w:r>
        <w:t>A/2060/2012 - 13/16 - Le Dr B__________ a quant à lui mentionné, dans son rapport du 26 avril 2011, une fibromyalgie, un état dépressif grave et des lésions des sous et sus-épineux des deux épaules. Il estime l'incapacité de travail à 100% depuis mars 2010. Le 21 juin 2012, le Dr H__________ a attesté que l'assurée ne pouvait, dans l'état actuel des choses, reprendre un travail de force. Le Dr I__________ a, quant à lui, confirmé le diagnostic de trouble dépressif récurrent, épisode actuel moyen, sans syndrome somatique, posé par le SMR, précisant toutefois que l'assurée présentait en outre, de manière sporadique mais récurrente des idées suicidaires. Il a estimé sa capacité de travail à 50%, "étant donné la chronicisation de ce trouble dépressif modéré à sévère, selon les périodes, depuis plusieurs années et par la grande fatigabilité et asthénie de ma patiente". Force est de constater que les médecins attestent d'un trouble dépressif, épisode actuel moyen, diagnostic déjà retenu par le médecin du SMR. Seul le Dr B__________ mentionne un état dépressif grave, sans motiver toutefois sa conclusion. De même le Dr I__________ fait-il état d'idées suicidaires, tout en précisant qu'elles surviennent de manière sporadique, avec un projet "peu élaboré". Les Drs E__________ et B__________ fixent l'incapacité de travail à 100%, quelle que soit l'activité envisagée ; le Dr I__________ à 50%. Il s'agit-là cependant d'appréciations différentes du même état de fait, que la Cour de céans ne saurait prendre en considération. Aucun des médecins ne fait du reste état d'une aggravation depuis septembre 2009. Il y a donc lieu de considérer que l'assurée peut travailler depuis octobre 2010, à 50% dans son activité habituelle et à 100% dans une activité adaptée, sans qu'il soit nécessaire de procéder à des investigations supplémentaires. 14. Il sied à ce stade de déterminer le degré d'invalidité.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A/2060/2012 - 14/16 -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w:t>
      </w:r>
    </w:p>
    <w:p>
      <w:r>
        <w:t>A/2060/2012 - 15/16 -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15. En l'espèce, l'OAI a fixé le degré d'invalidité à 28,8% dans sa réponse du 31 juillet 2012, en lieu et place des 16%, initialement calculés. Il s'est fondé sur un revenu sans invalidité de 59'219 fr. (au lieu de 56'206 fr.) et un revenu avec invalidité de 47'455 fr. 16. L'assurée conteste le taux d'abattement pris en considération par l'OAI pour le revenu avec invalidité, souhaitant que soit pris en compte un taux de 25%, soit le taux maximum. Il y a toutefois lieu de constater que l'OAI a d'ores et déjà retenu un taux de 20% dans le cadre de son nouveau calcul effectué en juillet 2012 (au lieu de 10%), lequel, compte tenu des circonstances du cas d'espèce, n'apparaît pas critiquable. 17. L'assurée estime que le montant de 63'878 fr. devrait être retenu à titre de revenu sans invalidité. Elle rappelle qu'elle exerçait deux activités pour lesquelles, en 2004, elle réalisait les salaires de 50'700 fr. et 7'754 fr., qui correspondent bien à un revenu global 2010 de 63'878 fr. La question peut être laissée ouverte, dans la mesure où un calcul fondé sur un revenu sans invalidité de 63'878 fr. donnerait quoi qu'il en soit un degré d'invalidité ne dépassant pas 37% et n'ouvrirait, partant, pas le droit à une rente AI. 18. Au vu de ce qui précède, le recours sera rejeté s'agissant de l'octroi d'une rente, et la cause renvoyée à l'OAI s'agissant de l'examen des mesures de réadaptation professionnelle. Etant donné que depuis le 1er juillet 2006, la procédure n'est plus gratuite (art. 69 al. 1bis LAI), il y a lieu de condamner le recourant au paiement d'un émolument de 200 fr.</w:t>
      </w:r>
    </w:p>
    <w:p>
      <w:r>
        <w:t>A/2060/2012 - 16/16 -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