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ATAS/1393/2009 vom 17. November 2009</w:t>
      </w:r>
    </w:p>
    <w:p>
      <w:r>
        <w:t>GE Cour de justice, 2009-11-17, FR</w:t>
      </w:r>
    </w:p>
    <w:p>
      <w:r>
        <w:rPr>
          <w:b/>
        </w:rPr>
        <w:t xml:space="preserve">Quelle: </w:t>
      </w:r>
      <w:r>
        <w:t>https://mcp.opencaselaw.ch/entscheid/ge_gerichte_ATAS_1393_2009</w:t>
      </w:r>
    </w:p>
    <w:p>
      <w:r>
        <w:t>FR: GE_GERICHTE ATAS/1393/2009 du 17 novembre 2009</w:t>
      </w:r>
    </w:p>
    <w:p>
      <w:r>
        <w:t>IT: GE_GERICHTE ATAS/1393/2009 del 17 novembre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Le recours a été interjeté en temps utile (art. 56 et ss LPGA).</w:t>
      </w:r>
    </w:p>
    <w:p>
      <w:r>
        <w:rPr>
          <w:b/>
        </w:rPr>
        <w:t>E. 4</w:t>
      </w:r>
    </w:p>
    <w:p>
      <w:r>
        <w:t>Le litige porte sur le montant des cotisations AVS/AI/APG dû par les époux en leur qualité de personnes sans activité lucrative.</w:t>
      </w:r>
    </w:p>
    <w:p>
      <w:r>
        <w:rPr>
          <w:b/>
        </w:rPr>
        <w:t>E. 5</w:t>
      </w:r>
    </w:p>
    <w:p>
      <w:r>
        <w:t>Sont assurées et partant tenues de cotiser à l'AVS, les personnes physiques domiciliées en Suisse (art. 1a let. a LAVS). Tel est le cas des époux. Les assurés n'exerçant aucune activité lucrative paient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 RAVS). Le revenu acquis sous forme de rentes et la fortune doivent être pris en compte pour moitié dans le calcul des cotisations des époux sans activité lucrative (art. 28 al. 4 RAVS, ATF 127 V 67 consid. 3a; 125 V 221). La fortune déterminante d'une personne sans activité lucrative représente l'ensemble de sa fortune nette, détenue en Suisse ou à l'étranger. Les dettes doivent être déduites de la fortune brute. Celles-ci comprennent également les charges durables grevant cette fortune qui dérivent d'obligations contractuelles ou de dispositions pour cause de mort (rentes viagères, usufruit, etc.) pour autant que leur montant est connu. Ne peuvent en revanche pas être déduites les prestations d'entretien ou d'assistance du droit de la famille.</w:t>
      </w:r>
    </w:p>
    <w:p>
      <w:r>
        <w:t>A/2097/2009 - 4/5 - Les autorités fiscales cantonales établissent la fortune sur la base de la taxation fiscale cantonale correspondante passée en force et la communiquent aux caisses de compensation (Directives sur les cotisations des travailleurs indépendants et des personnes sans activité lucrative publiées par l'Office fédéral des assurances sociales -DIN nos 2080 et ss). Les caisses de compensation sont liées par les données des autorités fiscales (art. 23 al. 4 RAVS).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w:t>
      </w:r>
    </w:p>
    <w:p>
      <w:r>
        <w:rPr>
          <w:b/>
        </w:rPr>
        <w:t>E. 6</w:t>
      </w:r>
    </w:p>
    <w:p>
      <w:r>
        <w:t>Les époux reprochent à la Caisse de n'avoir pas pris en considération l'abattement de 252'000 fr. admis par l'autorité fiscale. Le Tribunal fédéral a déjà eu l'occasion de juger à cet égard que seule la fortune brute doit être prise en considération pour le calcul du montant des cotisations AVS/AI. Les déductions forfaitaires prévues par le droit fiscal cantonal en particulier, ne peuvent être prises en considération (ATF du 7 juillet 2005, H 204/04). Selon le chiffre 2082 DIN, les dettes doivent certes être déduites de la fortune brute, l'abattement forfaitaire ne constitue cependant pas une dette et ne saurait être déductible de la fortune brute.</w:t>
      </w:r>
    </w:p>
    <w:p>
      <w:r>
        <w:rPr>
          <w:b/>
        </w:rPr>
        <w:t>E. 7</w:t>
      </w:r>
    </w:p>
    <w:p>
      <w:r>
        <w:t>Au vu de ce qui précède, le recours ne peut qu'être rejeté.</w:t>
      </w:r>
    </w:p>
    <w:p>
      <w:r>
        <w:t>A/2097/2009 - 5/5 -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