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ATAS/1393/2008 vom 28. November 2008</w:t>
      </w:r>
    </w:p>
    <w:p>
      <w:r>
        <w:t>GE Cour de justice, 2008-11-28, FR</w:t>
      </w:r>
    </w:p>
    <w:p>
      <w:r>
        <w:rPr>
          <w:b/>
        </w:rPr>
        <w:t xml:space="preserve">Quelle: </w:t>
      </w:r>
      <w:r>
        <w:t>https://mcp.opencaselaw.ch/entscheid/ge_gerichte_ATAS_1393_2008</w:t>
      </w:r>
    </w:p>
    <w:p>
      <w:r>
        <w:t>FR: GE_GERICHTE ATAS/1393/2008 du 28 novembre 2008</w:t>
      </w:r>
    </w:p>
    <w:p>
      <w:r>
        <w:t>IT: GE_GERICHTE ATAS/1393/2008 del 28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loi fédérale sur l'assurance- 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loi fédérale sur l'assurance- invalidité est entrée en vigueur le 1er juillet 2006 (RO 2006 2003), apportant des modifications qui concernent notamment la procédure conduite devant le Tribunal</w:t>
      </w:r>
    </w:p>
    <w:p>
      <w:r>
        <w:t>A/1576/2007 - 10/16 -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la recourante peut prétendre une mesure de reclassement professionnel, singulièrement quel est le taux d’invalidité qu’elle présente.</w:t>
      </w:r>
    </w:p>
    <w:p>
      <w:r>
        <w:rPr>
          <w:b/>
        </w:rPr>
        <w:t>E. 5</w:t>
      </w:r>
    </w:p>
    <w:p>
      <w:r>
        <w:t>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w:t>
      </w:r>
    </w:p>
    <w:p>
      <w:r>
        <w:t>A/1576/2007 - 11/16 -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w:t>
      </w:r>
    </w:p>
    <w:p>
      <w:r>
        <w:t>A/1576/2007 - 12/16 -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7</w:t>
      </w:r>
    </w:p>
    <w:p>
      <w:r>
        <w:t>La recourante fait grief à l'intimé de s'être écarté des avis de ses médecins traitants, les Drs L_________ et R_________. Elle conteste l'objectivité du rapport d'examen du SMR du 14 août 2006 et demande que soit mise sur pied une contre-expertise. Elle soutient que son état fluctue et que le jour de l'expertise, elle se sentait particulièrement bien. L'examen bidiscipliniaire, rhumatologique et psychiatrique, confié aux Drs P_________ et Q_________, n'a retenu à titre de diagnostics ayant une répercussion sur la capacité de travail que des rachialgies diffuses avec prédominance dorsolombaire dans le cadre de troubles statiques dégénératifs du rachis avec séquelles de maladie de Scheuermann et des hernies discales. Ont été également mentionnés une fibromyalgie, un trouble de la personnalité avec traits caractériels et narcissiques et un trouble hypocondriaque avec nosophobie mais les médecins ont jugé que ces atteintes n'exerçaient aucune influence sur la capacité de travail de l'assurée. Les inexactitudes relevées par la recourante dans l'anamnèse quant à son parcours professionnel ou le fait que son frère soit ou non toxicomane ne revêtent guère d'importance dans la mesure où elles n'influent pas sur les diagnostics posés. On ne saurait dont en tirer argument contre la valeur probante de ce rapport. Pour déterminer si les conclusions des médecins du SMR doivent se voir reconnaître pleine valeur probante, il convient bien plutôt de vérifier, si leurs conclusions sont convaincantes, s'ils ont tenu compte des plaintes rapportées par l'assurée, si ces conclusions sont dûment motivées et ne laissent pas apparaître de contradiction et surtout, si les autres médecins qui se sont prononcés et aux avis desquels se réfère la recourante ont fait état d’éléments objectifs ayant été ignorés dans le cadre de l’expertise suffisamment pertinents pour remettre en cause les conclusions de cette dernière. Force est de constater en premier lieu que les médecins du SMR ont procédé à un examen clinique complet de l’intéressée. Ils ont reporté leurs constatations dans</w:t>
      </w:r>
    </w:p>
    <w:p>
      <w:r>
        <w:t>A/1576/2007 - 13/16 - leur rapport, de même que les plaintes exprimées par la recourante, ainsi que les avis des médecins qui se sont préalablement prononcés. A ce propos, il convient de rappeler que la mention des plaintes de la personne examinée et celle des avis des autres praticiens ne doit pas être confondue avec l’appréciation effectuée par les examinateurs. Relater d’autres appréciations ou constatations ne signifie par de facto les faire siennes. Sur le plan somatique, il a été relaté que l’assurée se plaint de douleurs généralisées au rachis et aux quatre membres, surtout au rachis lombaire et dorsal. La présence de troubles statiques du rachis et d’une hypercyphose dorsale a été constatée. La mobilité lombaire a été jugée satisfaisante, la mobilité cervicale un peu diminuée. Les médecins, rappelant que les rachialgies entrent dans le cadre de troubles statiques importants, ont admis une capacité de travail réduite à 50% dans une activité d’aide coiffeuse. En revanche, ils ont considéré que dans une activité strictement adaptée, c'est-à-dire permettant d'alterner les positions et d'éviter le soulèvement régulier de charges d’un poids excédant cinq kilos, le port régulier d’un poids excédant dix kilos et le travail en porte-à-faux statique prolongé du tronc, la capacité de travail était préservée. Les limitations évoquées par les médecins du SMR ne sont pas différentes de celles retenues par le médecin traitant - qui préconise d'éviter les travaux lourds et mentionne à titre d'activités possibles celles de réceptionniste, huissière ou contractuelle - ou encore par le Dr N_________ - qui émet l'avis qu'une activité adaptée, c'est-à-dire évitant les efforts physiques et les mouvements répétés du tronc, est exigible à raison de huit heures par jour, avec une diminution de rendement au cas où l'assurée devrait conserver la position assise. Seule l'appréciation de la capacité résiduelle de travail diffère chez le Dr L_________, mais il est à relever que ce dernier s'est livré à une appréciation globale, incluant les troubles psychiques qu'il invoque. Sur le plan somatique, aucun élément objectif ne permet donc de douter des conclusions du SMR. Le médecin traitant a d'ailleurs admis que, du point de vue rhumatologique, le rapport du SMR lui semblait complet et adéquat et que les limitations retenues correspondaient à ce qu’il lui-même avait pu observer. Sur le plan psychique, les médecins du SMR ont exclu toute atteinte invalidante. Ils ont expliqué pourquoi ils n'ont retenu ni le diagnostic d'hyperactivité (absence claire de déficit de l’attention), ni celui de trouble de la personnalité de type borderline décompensé (le fait que l'identité de l'assurée soit bien construite et que sa tolérance à la frustration puisse être maîtrisée). Ils ont souligné que les ressources de l’assurée, son élan vital et sa capacité à obtenir ce qu’elle veut traduisaient sa compétence et sa bonne intelligence, raisons pour lesquelles ils ont conclu qu'elle avait largement les moyens d’exercer une activité professionnelle lucrative à plein temps, à condition de pouvoir bénéficier d'une certaine autonomie.</w:t>
      </w:r>
    </w:p>
    <w:p>
      <w:r>
        <w:t>A/1576/2007 - 14/16 - La gestion d’un commerce, un travail individuel sur ordinateur ou de l’artisanat ont été évoqués. Le diagnostic de trouble hyperactif n'a été évoqué que par le Dr O_________, dont il est utile de souligner qu'il est spécialisé en médecine interne et maladies rhumatismales et qu'il n'a pas étayé son diagnostic. Dès lors, son avis ne saurait suffire à mettre en doute celui des médecins du SMR, lesquels ont expliqué les raisons pour lesquelles ils n'ont pas retenu le diagnostic en question. Le Dr R_________, auquel se réfère également la recourante, s'il a posé le diagnostic de trouble dépressif récurrent, a également précisé que ce dernier était en rémission sous prise d'un antidépresseur. Quant à la phobie des soins dentaires à laquelle il fait aussi allusion, il est manifeste qu'elle est sans répercussion sur la capacité de travail. La Dresse M_________ a quant à elle considéré qu'une activité pourrait être exigée de la patiente, dans l’administration ou la vente par exemple, à condition d’éviter le stress de l’exposition à des conflits inter-personnels et les exercices physiques. Cet avis corrobore donc celui du SMR, hormis sur l'appréciation de la capacité de travail, que la Dresse M_________ a estimée à quatre heures par jour, mais sans motiver davantage son appréciation. Le Dr L_________, médecin traitant, retient quant à lui le diagnostic de personnalité borderline avec labilité émotionnelle. S'il a également mentionné des troubles de l’adaptation et de l’humeur, il a précisé dans son rapport initial qu'ils étaient sans répercussion sur la capacité de travail. Le Dr L_________, qui n'est pas spécialisé en psychiatrie, appuie son avis sur celui des médecins du Département psychiatrique des HUG, dans lequel la patiente a séjourné du 2 au 10 octobre 2001, lesquels ont justifié le diagnostic de trouble de la personnalité émotionnellement labile, de type borderline par le fait que la patiente avait de la difficulté à gérer les contraintes et les limites, ce qui se traduisait par des réactions impulsives et une tendance aux éclats de colère et à entrer en conflit avec les autres. Ce diagnostic n'a cependant pas été retenu par les médecins du SMR qui ont indiqué les raisons pour lesquelles ils s'en écartaient. Il convient d'ailleurs de relever que ce diagnostic n'a été repris ni par la Dresse M_________ ni par le Dr R_________.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w:t>
      </w:r>
    </w:p>
    <w:p>
      <w:r>
        <w:t>A/1576/2007 - 15/16 - remettre en cause les conclusions de cette dernière. Cette hypothèse n’est cependant pas réalisée en l’espèce, comme on l’a vu ci-avant. On retiendra donc que, tant sur le plan psychique que sur le plan somatique, la capacité de travail de l'assurée dans une activité adaptée est conservée. Une appréciation anticipée des preuves permet dès lors de conclure à l'absence d'atteinte à la santé mentale nécessitant un complément d'instruction. La conclusion de la recourante visant à la mise sur pied d'une contre-expertise psychiatrique doit donc être rejetée. c) Il suit de ce qui précède que c'est à juste titre que l'intimé, comparant le revenu que l'assurée pourrait obtenir sans invalidité (ESS 2002, TA 1, secteur des services, niveau 4) en travaillant à plein temps à celui qui serait raisonnablement exigible de sa part dans une activité respectant ses limitations fonctionnelles (ESS 2002, TA 1, secteur des services, niveau 4), en a tiré la conclusion qu'il n'y avait aucune perte de gain et que le droit à un reclassement professionnel devait être nié.</w:t>
      </w:r>
    </w:p>
    <w:p>
      <w:r>
        <w:t>A/1576/2007 - 16/16 -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