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ATAS/138/2023 vom 2. März 2023</w:t>
      </w:r>
    </w:p>
    <w:p>
      <w:r>
        <w:t>GE Cour de justice, 2023-03-02, FR</w:t>
      </w:r>
    </w:p>
    <w:p>
      <w:r>
        <w:rPr>
          <w:b/>
        </w:rPr>
        <w:t xml:space="preserve">Quelle: </w:t>
      </w:r>
      <w:r>
        <w:t>https://mcp.opencaselaw.ch/entscheid/ge_gerichte_ATAS_138_2023</w:t>
      </w:r>
    </w:p>
    <w:p>
      <w:r>
        <w:t>FR: GE_GERICHTE ATAS/138/2023 du 2 mars 2023</w:t>
      </w:r>
    </w:p>
    <w:p>
      <w:r>
        <w:t>IT: GE_GERICHTE ATAS/138/2023 del 2 marzo 2023</w:t>
      </w:r>
    </w:p>
    <w:p>
      <w:pPr>
        <w:pStyle w:val="Heading2"/>
      </w:pPr>
      <w:r>
        <w:t>Erwägungen</w:t>
      </w:r>
    </w:p>
    <w:p>
      <w:r>
        <w:rPr>
          <w:b/>
        </w:rPr>
        <w:t>E. 8</w:t>
      </w:r>
    </w:p>
    <w:p>
      <w:r>
        <w:t>ans. Le Dr C______ et le Dr E______ ont été entendus simultanément. Le médecin traitant a expliqué que, depuis huit ans qu’il s’occupait de l’assuré, l’état de ce</w:t>
      </w:r>
    </w:p>
    <w:p>
      <w:r>
        <w:t>A/3789/2020 - 11/33 - dernier déclinait graduellement et il pensait qu’il était maintenant dans un état de dépression chronique. Il pensait qu’il aurait pu lui prescrire 5 mg de plus d’antidépresseurs, tout en relevant que cela n’aurait pas pu avoir un effet magique, car il n’existait pas de molécule qui, à sa connaissance, puisse redonner à quelqu’un le goût de vivre. Son patient s’était inséré dans un état où il dormait la plupart du temps, n’avait plus d’activité, plus de vie de couple, plus de vie professionnelle et ne s’occupait plus de rien. Après le drame qu’il avait vécu en voyant son frère de</w:t>
      </w:r>
    </w:p>
    <w:p>
      <w:r>
        <w:rPr>
          <w:b/>
        </w:rPr>
        <w:t>E. 8.1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 consid. 3.1 ;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w:t>
      </w:r>
    </w:p>
    <w:p>
      <w:r>
        <w:rPr>
          <w:b/>
        </w:rPr>
        <w:t>E. 8.2</w:t>
      </w:r>
    </w:p>
    <w:p>
      <w:r>
        <w:t>Dans l’ATF 141 V 281,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 Le Tribunal fédéral a en revanche maintenu, voire renforcé la portée des motifs d'exclusion définis dans l'ATF 131 V 49,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w:t>
      </w:r>
    </w:p>
    <w:p>
      <w:r>
        <w:t>A/3789/2020 - 17/33 -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ATF 132 V 65 consid. 4.2.2 ; arrêt du Tribunal fédéral 9C_16/2016 du 14 juin 2016 consid. 3.2).</w:t>
      </w:r>
    </w:p>
    <w:p>
      <w:r>
        <w:rPr>
          <w:b/>
        </w:rPr>
        <w:t>E. 8.3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w:t>
      </w:r>
    </w:p>
    <w:p>
      <w:r>
        <w:rPr>
          <w:b/>
        </w:rPr>
        <w:t>E. 8.4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 9.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I. Catégorie « degré de gravité fonctionnelle »</w:t>
      </w:r>
    </w:p>
    <w:p>
      <w:r>
        <w:t>A/3789/2020 - 18/33 - Les indicateurs relevant de cette catégorie représentent l’instrument de base de l’analyse. Les déductions qui en sont tirées devront, dans un second temps, résister à un examen de la cohérence (ATF 141 V 281 consid. 4.3). A. Axe « atteinte à la santé » 1. 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 2. 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 3. 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w:t>
      </w:r>
    </w:p>
    <w:p>
      <w:r>
        <w:t>A/3789/2020 - 19/33 - 2019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 cf. ATF 141 V 281 consid. 4.3.2). Etant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w:t>
      </w:r>
    </w:p>
    <w:p>
      <w:r>
        <w:t>C. Axe « contexte social »</w:t>
      </w:r>
    </w:p>
    <w:p>
      <w:r>
        <w:t>A/3789/2020 - 20/33 -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w:t>
      </w:r>
    </w:p>
    <w:p>
      <w:r>
        <w:t>A/3789/2020 - 21/33 -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w:t>
      </w:r>
    </w:p>
    <w:p>
      <w:r>
        <w:rPr>
          <w:b/>
        </w:rPr>
        <w:t>E. 10</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t>A/3789/2020 - 22/33 - Le Tribunal fédéral a récemment rappelé qu’en principe, seul un trouble psychique grave peut avoir un caractère invalidant. Un trouble dépressif de degré léger à moyen, sans interférence notable avec des comorbidités psychiatriques, ne peut généralement pas être défini comme une maladie mentale grave. S'il existe en outre un potentiel thérapeutique significatif, le caractère durable de l'atteinte à la santé est notamment remis en question. Dans ce cas, il doit exister des motifs importants pour que l'on puisse néanmoins conclure à une maladie invalidante. Si, dans une telle constellation, les spécialistes en psychiatrie attestent sans explication concluante (éventuellement ensuite d'une demande) une diminution considérable de la capacité de travail malgré l'absence de trouble psychique grave, l'assurance ou le tribunal sont fondés à nier la portée juridique de l'évaluation médico-psychiatrique de l'impact (ATF 148 V 49 consid. 6.2.2 et les références).</w:t>
      </w:r>
    </w:p>
    <w:p>
      <w:r>
        <w:rPr>
          <w:b/>
        </w:rPr>
        <w:t>E. 11</w:t>
      </w:r>
    </w:p>
    <w:p>
      <w:r>
        <w:t>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w:t>
      </w:r>
    </w:p>
    <w:p>
      <w:r>
        <w:rPr>
          <w:b/>
        </w:rPr>
        <w:t>E. 12</w:t>
      </w:r>
    </w:p>
    <w:p>
      <w:r>
        <w:t>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w:t>
      </w:r>
    </w:p>
    <w:p>
      <w:r>
        <w:rPr>
          <w:b/>
        </w:rPr>
        <w:t>E. 13.1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w:t>
      </w:r>
    </w:p>
    <w:p>
      <w:r>
        <w:rPr>
          <w:b/>
        </w:rPr>
        <w:t>E. 13.2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A/3789/2020 - 23/33 -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w:t>
      </w:r>
    </w:p>
    <w:p>
      <w:r>
        <w:rPr>
          <w:b/>
        </w:rPr>
        <w:t>E. 13.3</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13.4</w:t>
      </w:r>
    </w:p>
    <w:p>
      <w:r>
        <w:t>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ATF 137 V 210 consid. 6 ; arrêts du Tribunal fédéral 9C_808/2019 du 18 août 2020 consid. 5.2. et 9C_109/2018 du 15 juin 2018 consid. 5.1).</w:t>
      </w:r>
    </w:p>
    <w:p>
      <w:r>
        <w:rPr>
          <w:b/>
        </w:rPr>
        <w:t>E. 13.5</w:t>
      </w:r>
    </w:p>
    <w:p>
      <w:r>
        <w:t>Le juge ne s'écarte pas sans motifs impératifs des conclusions d'une expertise médicale judiciaire, la tâche de l'expert étant précisément de mettre ses connaissances spéciales à la disposition de la justice afin de l'éclairer sur les aspects</w:t>
      </w:r>
    </w:p>
    <w:p>
      <w:r>
        <w:t>A/3789/2020 - 24/33 -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143 V 269 consid. 6.2.3.2 et les références ; ATF 135 V 465 consid. 4.4. et les références ; ATF 125 V 351 consid. 3b/aa et les références).</w:t>
      </w:r>
    </w:p>
    <w:p>
      <w:r>
        <w:rPr>
          <w:b/>
        </w:rPr>
        <w:t>E. 13.6</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4.6 ; arrêt du Tribunal fédéral 9C_301/2013 du 4 septembre 2013 consid. 3).</w:t>
      </w:r>
    </w:p>
    <w:p>
      <w:r>
        <w:rPr>
          <w:b/>
        </w:rPr>
        <w:t>E. 13.7</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w:t>
      </w:r>
    </w:p>
    <w:p>
      <w:r>
        <w:t>A/3789/2020 - 25/33 -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13.8</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13.9</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14</w:t>
      </w:r>
    </w:p>
    <w:p>
      <w:r>
        <w:t>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w:t>
      </w:r>
    </w:p>
    <w:p>
      <w:r>
        <w:t>A/3789/2020 - 26/33 -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w:t>
      </w:r>
    </w:p>
    <w:p>
      <w:r>
        <w:rPr>
          <w:b/>
        </w:rPr>
        <w:t>E. 15.1</w:t>
      </w:r>
    </w:p>
    <w:p>
      <w:r>
        <w:t>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w:t>
      </w:r>
    </w:p>
    <w:p>
      <w:r>
        <w:rPr>
          <w:b/>
        </w:rPr>
        <w:t>E. 15.2</w:t>
      </w:r>
    </w:p>
    <w:p>
      <w:r>
        <w:t>Dans un arrêt de principe du 2 décembre 2019 (ATF 145 V 361), le Tribunal fédéral, à la lumière de l'ATF 141 V 281,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 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w:t>
      </w:r>
    </w:p>
    <w:p>
      <w:r>
        <w:t>A/3789/2020 - 27/33 -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w:t>
      </w:r>
    </w:p>
    <w:p>
      <w:r>
        <w:rPr>
          <w:b/>
        </w:rPr>
        <w:t>E. 15.3</w:t>
      </w:r>
    </w:p>
    <w:p>
      <w:r>
        <w:t>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w:t>
      </w:r>
    </w:p>
    <w:p>
      <w:r>
        <w:t>A/3789/2020 - 28/33 - (cf. arrêt du Tribunal fédéral 8C_423/2019 du 7 février 2020 consid. 3.2.2 et les références).</w:t>
      </w:r>
    </w:p>
    <w:p>
      <w:r>
        <w:rPr>
          <w:b/>
        </w:rPr>
        <w:t>E. 16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17</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18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A/3789/2020 - 29/33 -</w:t>
      </w:r>
    </w:p>
    <w:p>
      <w:r>
        <w:rPr>
          <w:b/>
        </w:rPr>
        <w:t>E. 19</w:t>
      </w:r>
    </w:p>
    <w:p>
      <w:r>
        <w:t>novembre 2021, a mis en lumière plusieurs anomalies de nature à mettre en doute les conclusions du Dr E______, dans la mesure où des tensions sont apparues, amenant l’assuré à ne pas répondre de manière authentique aux questions posées par l’expert mandaté par l’intimé. Des divergences sont également apparues lors de l’audition simultanée du médecin traitant du recourant et du Dr E______. Ainsi, l’appréciation médicale du médecin traitant, notamment quant aux ressources du recourant, est très éloignée de celle qui a été faite par le Dr E______. Cet écart s’explique notamment par les déclarations du recourant en audience, qui a expliqué avoir d’emblée ressenti un sentiment de manque de confiance à l’égard du Dr E______, raison pour laquelle il ne lui a pas répondu de manière authentique. Ce comportement a été observé par l’expert G______ dans son rapport d’expertise, ce dernier faisant plusieurs fois référence aux troubles de la personnalité narcissique du recourant qui amènent ce dernier à tenir des discours contradictoires où à se montrer irritable lorsqu’on n’épouse pas son point de vue. Dès lors que le Dr E______ n’a pas retenu de trouble de la personnalité narcissique, il semble ne pas s’être rendu compte du fait que l’expertisé lui disait « ce qu’il voulait entendre », comme l’a déclaré le recourant en audience. Il résulte de ce qui précède que le rapport d’expertise du 28 mai 2020, rédigé par le Dr E______, est impropre à établir, au degré de la vraisemblance prépondérante, la capacité de travail du recourant pour les raisons exposées supra.</w:t>
      </w:r>
    </w:p>
    <w:p>
      <w:r>
        <w:rPr>
          <w:b/>
        </w:rPr>
        <w:t>E. 19.1</w:t>
      </w:r>
    </w:p>
    <w:p>
      <w:r>
        <w:t>L’audition du recourant et du Dr E______, par la chambre de céans, en date du</w:t>
      </w:r>
    </w:p>
    <w:p>
      <w:r>
        <w:rPr>
          <w:b/>
        </w:rPr>
        <w:t>E. 19.2</w:t>
      </w:r>
    </w:p>
    <w:p>
      <w:r>
        <w:t>Le rapport d’expertise psychiatrique du Prof G______ correspond en tous points aux exigences en la matière. Il a été établi en parfaite connaissance du dossier médical, dont la lecture a été complétée par trois entretiens avec l’expertisé, les 25 septembre, 11 octobre et 6 novembre 2022, totalisant six heures. L’expert s’est également entretenu téléphoniquement avec la sœur de l’expertisé, Madame H______, pendant dix minutes, avec l’épouse de l’expertisé, Madame I______,</w:t>
      </w:r>
    </w:p>
    <w:p>
      <w:r>
        <w:t>A/3789/2020 - 30/33 - pendant six minutes, avec le psychiatre traitant de l’expertise, le Dr C______, pendant neuf minutes et avec Madame F______, psychologue, pendant quatre minutes. L’expert a également effectué avec Madame J______, psychologue, une évaluation neuropsychologique d’une durée de cinq heures. Le rapport contient, en outre, une anamnèse personnelle, familiale et professionnelle très fouillée, et l’expert a tenu compte des plaintes du recourant et a rapporté ses observations de manière détaillée à la suite de trois entretiens approfondis. Les diagnostics retenus sont soigneusement motivés et la capacité de gain du recourant a été correctement analysée à la lumière des indicateurs développés par la jurisprudence. De surcroît, le Prof. G______ a exposé de manière détaillée et convaincante les raisons pour lesquelles il s’écartait de l’avis de l’expert E______ du 28 mai 2020. S’agissant des incohérences dans les propos de l’expertisé, elles ont été plusieurs fois notées par l’expert, ce dernier semblant les intégrer dans le trouble de la personnalité narcissique dont souffre le recourant. En tout état, dès lors que lesdites incohérences ont été identifiées et expliquées par l’expert judiciaire et que ce dernier les a prises en compte dans son appréciation du taux d’incapacité de travail du recourant, elles ne sauraient conduire à un rejet de la valeur probante de l’expertise comme le soutient l’intimé, en conclusion de ses observations du 25 janvier 2023. Dès lors qu’il n’y a pas de contradiction manifeste dans le rapport d’expertise judiciaire, la chambre de céans n’a pas de motif impératif de s'écarter de ses conclusions, étant rappelé que la tâche de l'expert est précisément de mettre ses connaissances spéciales à la disposition de la justice afin de l'éclairer sur les aspects médicaux d'un état de fait donné.</w:t>
      </w:r>
    </w:p>
    <w:p>
      <w:r>
        <w:rPr>
          <w:b/>
        </w:rPr>
        <w:t>E. 19.3</w:t>
      </w:r>
    </w:p>
    <w:p>
      <w:r>
        <w:t>Compte tenu de ce qui précède, la chambre de céans considère que le rapport d’expertise présente une pleine valeur probante et que les conclusions de l’expert judiciaire, selon lesquelles l’incapacité de travail du recourant est de 60% depuis 2013, doivent être retenues.</w:t>
      </w:r>
    </w:p>
    <w:p>
      <w:r>
        <w:rPr>
          <w:b/>
        </w:rPr>
        <w:t>E. 20</w:t>
      </w:r>
    </w:p>
    <w:p>
      <w:r>
        <w:t>Selon une jurisprudence bien établie de la chambre de céans, le juge cantonal qui estime que les faits ne sont pas suffisamment élucidés doit, en principe, soit procéder lui-même à une telle instruction complémentaire, soit renvoyer la cause à l’autorité sociale intimée pour qu’elle procède à une instruction complémentaire (ATAS/1109/2021 du 4 novembre 2021 consid. 11b ; ATAS/707/2021 du 30 juin 2021 consid. 9b ; ATAS/662/2021 du 23 juin 2021 consid. 9 ; ATAS/404/2021 du 29 avril 2021 consid. 9b ; ATAS/810/2020 du 28 septembre 2020 consid. 8 ; ATAS/283/2020 du 14 avril 2020 consid. 8d ; ATAS/1102/2019 du 27 novembre 2019 consid. 8). Vu la maxime inquisitoire de l’art. 61 let. c LPGA, la chambre de céans tente, dans la mesure du raisonnable, de procéder directement aux éclaircissements nécessaires dans un but de célérité et d’économie procédurale (en</w:t>
      </w:r>
    </w:p>
    <w:p>
      <w:r>
        <w:t>A/3789/2020 - 31/33 - ce sens pour la mise en œuvre d’expertises : ATF 137 V 210 consid. 4.4.1.4) ; cependant, un renvoi à l’administration apparaît en général approprié si celle-ci s’est soustraite à son devoir d’instruire, respectivement si celle-ci a constaté les faits de façon sommaire, dans l’idée que le tribunal les éclaircirait en cas de recours (ATAS/707/2021 du 30 juin 2021 consid. 9b ; ATAS/662/2021 du 23 juin 2021 consid. 9 ; ATAS/404/2021 du 29 avril 2021 consid. 9b ; ATAS/833/2020 du 6 octobre 2020 consid. 10 ; ATAS/463/2020 du 4 juin 2020 consid. 10 ; ATAS/56/2020 du 30 janvier 2020 consid. 13b ; ATAS/960/2019 du 22 octobre 2019 consid. 9c ; ATAS/497/2019 du 4 juin 2019 consid. 7c ; ATAS/83/2019 du 1er février 2019 consid. 8c). Il ne revient un effet pas à la chambre de céans de procéder à une instruction détaillée en lieu et place du personnel spécialisé des autorités sociales compétentes (en ce sens : ATF 146 V 240 consid. 8.3.2), d’autant que cela aurait pour conséquence de priver les assurés concernés d’un degré de juridiction (comparer pour le Tribunal fédéral : ATF 147 I 89 consid. 1.2.5) et d’affaiblir le devoir constitutionnel de motivation sérieuse de l’autorité (en ce sens : ATF 146 V 240 consid. 8.3.2).</w:t>
      </w:r>
    </w:p>
    <w:p>
      <w:r>
        <w:t>Dès lors qu’il avait conclu à l’absence d’incapacité de travail, l’OAI n’a pas procédé à une comparaison des revenus afin de déterminer le taux d’invalidité.</w:t>
      </w:r>
    </w:p>
    <w:p>
      <w:r>
        <w:t>Pour cette raison, la cause lui sera renvoyée afin que l’OAI procède au calcul du taux d’invalidité, en effectuant une comparaison des revenus et en se fondant sur une incapacité de travail de 60%, depuis 2013, étant précisé que l’expert ne retient pas de baisse de rendement dans ce cas de figure.</w:t>
      </w:r>
    </w:p>
    <w:p>
      <w:r>
        <w:rPr>
          <w:b/>
        </w:rPr>
        <w:t>E. 21</w:t>
      </w:r>
    </w:p>
    <w:p>
      <w:r>
        <w:t>S’agissant du début de l’incapacité de travail de 60%, elle est fixée par l’expert judiciaire en 2013.</w:t>
      </w:r>
    </w:p>
    <w:p>
      <w:r>
        <w:t>Néanmoins, l’assuré n’a déposé sa demande de prestations d’invalidité qu’en date du 25 juin 2019.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t>En l’occurrence, conformément à l’art. 29 al. 1 LAI, la demande de prestations d’invalidité du recourant est tardive et ce n’est qu’à l’issue d’un délai de six mois, qu’une rente d’invalidité pourra lui être octroyée.</w:t>
      </w:r>
    </w:p>
    <w:p>
      <w:r>
        <w:rPr>
          <w:b/>
        </w:rPr>
        <w:t>E. 22</w:t>
      </w:r>
    </w:p>
    <w:p>
      <w:r>
        <w:t>Reste à examiner la question des coûts de l'expertise qui peuvent être mis à la charge de l'assureur social (ATF 137 V 210 consid. 4.4.2).</w:t>
      </w:r>
    </w:p>
    <w:p>
      <w:r>
        <w:t>A/3789/2020 - 32/33 - Conformément à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En l'espèce, bien que les appréciations de l’expert judiciaire soient différentes de celles de l’expert mandaté par l’OAI, rien ne permet de considérer que l'autorité administrative a diligenté une instruction présentant des lacunes ou des insuffisances caractérisées. Dès lors, les frais de l’expertise judiciaire seront laissés à la charge de l’État.</w:t>
      </w:r>
    </w:p>
    <w:p>
      <w:r>
        <w:rPr>
          <w:b/>
        </w:rPr>
        <w:t>E. 23</w:t>
      </w:r>
    </w:p>
    <w:p>
      <w:r>
        <w:t>Le recourant, qui n'est pas représenté en justice et qui n'a pas allégué ou démontré avoir déployé des efforts dépassant la mesure de ce que tout un chacun consacre à la gestion courante de ses affaires, n'a pas droit à des dépens.</w:t>
      </w:r>
    </w:p>
    <w:p>
      <w:r>
        <w:rPr>
          <w:b/>
        </w:rPr>
        <w:t>E. 24</w:t>
      </w:r>
    </w:p>
    <w:p>
      <w:r>
        <w:t>Etant donné que, depuis le 1er juillet 2006, la procédure n'est plus gratuite (art. 69 al. 1bis LAI), au vu du sort du recours, il y a lieu de condamner l'intimé au paiement d'un émolument de CHF 200.-.</w:t>
      </w:r>
    </w:p>
    <w:p>
      <w:r>
        <w:t>A/3789/2020 - 33/33 -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