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ATAS/138/2019 vom 19. Februar 2019</w:t>
      </w:r>
    </w:p>
    <w:p>
      <w:r>
        <w:t>GE Cour de justice, 2019-02-19, FR</w:t>
      </w:r>
    </w:p>
    <w:p>
      <w:r>
        <w:rPr>
          <w:b/>
        </w:rPr>
        <w:t xml:space="preserve">Quelle: </w:t>
      </w:r>
      <w:r>
        <w:t>https://mcp.opencaselaw.ch/entscheid/ge_gerichte_ATAS_138_2019</w:t>
      </w:r>
    </w:p>
    <w:p>
      <w:r>
        <w:t>FR: GE_GERICHTE ATAS/138/2019 du 19 février 2019</w:t>
      </w:r>
    </w:p>
    <w:p>
      <w:r>
        <w:t>IT: GE_GERICHTE ATAS/138/2019 del 19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Il court dès le lendemain de la notification de la décision (art. 38 al. 1 LPGA ; art. 62 al. 3 LPA-GE). Les délais en jours ou en mois fixés par la loi ou par l’autorité ne courent pas du 15 juillet au 15 août inclusivement (art. 38 al. 4 let. b LPGA et art. 89C let. b LPA-GE). Interjeté dans la forme et le délai prescrits par la loi, le recours du 5 septembre 2018 contre la décision du 5 juillet 2018, est recevable.</w:t>
      </w:r>
    </w:p>
    <w:p>
      <w:r>
        <w:rPr>
          <w:b/>
        </w:rPr>
        <w:t>E. 5</w:t>
      </w:r>
    </w:p>
    <w:p>
      <w:r>
        <w:t>Le litige porte sur la question de savoir si l’intimée était fondée à mettre un terme au paiement des frais de traitement au 3 juin 2018 et à celui des indemnités journalières au 31 mars 2015, et à considérer que le recourant ne peut prétendre ni à une rente ni une indemnité pour atteinte à l’intégrité, motifs pris que ses troubles ne peuvent pas s’expliquer d’un point de vue organique et ne sont pas en lien de causalité avec l'accident du 13 avril 2011.</w:t>
      </w:r>
    </w:p>
    <w:p>
      <w:r>
        <w:rPr>
          <w:b/>
        </w:rPr>
        <w:t>E. 6</w:t>
      </w:r>
    </w:p>
    <w:p>
      <w:r>
        <w:t>Dans un moyen de nature formelle qu'il convient d'examiner en premier, le recourant soutient que l’intimée a violé ses droits de procédure lors de la mise en œuvre de l’expertise. Il soutient en effet que le Dr R______ aurait dû être récusé car les informations qui lui ont été communiquées par l’intimée étaient de nature à remettre en cause son impartialité</w:t>
      </w:r>
    </w:p>
    <w:p>
      <w:r>
        <w:t>A/3010/2018 - 25/38 -</w:t>
      </w:r>
    </w:p>
    <w:p>
      <w:r>
        <w:rPr>
          <w:b/>
        </w:rPr>
        <w:t>E. 7</w:t>
      </w:r>
    </w:p>
    <w:p>
      <w:r>
        <w:t>Conformément à l’art. 36 al. 1 LPGA, les personnes appelées à rendre ou à préparer des décisions sur des droits ou des obligations doivent se récuser si elles ont un intérêt personnel dans l'affaire ou si, pour d'autres raisons, elles semblent prévenues.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6.5 ; arrêt du Tribunal fédéral 9C_366/2013 du 2 décembre 2013 consid. 1.2). Selon la jurisprudence relative aux art. 29 al. 1 et 30 al. 1 de la Constitution fédérale de la Confédération suisse du 18 avril 1999 (Cst. - RS 101)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132 V 93 consid. 7.1 ; arrêt du Tribunal fédéral 9C_519/2011 du 5 avril 2012 consid. 3.1).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et ATF 125 II 541 consid. 4).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w:t>
      </w:r>
    </w:p>
    <w:p>
      <w:r>
        <w:t>A/3010/2018 - 26/38 - des faits et à la résolution des questions juridiques (ATF 116 Ia 135 consid. 3b et ATF 126 I 168 consid. 2a).</w:t>
      </w:r>
    </w:p>
    <w:p>
      <w:r>
        <w:rPr>
          <w:b/>
        </w:rPr>
        <w:t>E. 8</w:t>
      </w:r>
    </w:p>
    <w:p>
      <w:r>
        <w:t>En l'espèce, aucun élément du dossier ne permet de mettre en doute l’impartialité du Dr R______. Il sera notamment relevé que ce médecin a rencontré le recourant pour la première fois dans le cadre de son mandat d’expertise et qu’il ne s’est pas du tout prononcé sur la situation de l’intéressé avant de rendre son rapport. Le fait que le courriel de l’intimée transmis à l’expert, de même que la première mission envoyée le 18 mai 2017, faisaient référence à des « discrépances » et à des « incongruences » ne constitue pas en soi un motif pour conclure à la prévention ou à la partialité de l'expert. En effet, rien ne permet d’admettre que ce dernier aurait été enclin à projeter dans son appréciation l’opinion de l’intimée, à supposer encore que l’emploi des termes précités puisse être considéré comme le point de vue de l’intimée, ce qui est discutable dès lors que des pièces du dossier font état de discordances (cf. rapport de la CRR du 22 avril 2014 et ses annexes, rapport du SMR du 19 juin 2015). Les craintes que le recourant exprime au sujet de l’impartialité de l’expert ne justifient pas à elles seules la récusation du Dr R______ en vertu de motifs légaux (art. 10 al. 1 PA et 36 al. 1 LPGA), son appréciation ne reposant en définitive que sur sa méfiance et non sur des éléments objectifs. Enfin, les reproches du recourant s’agissant des contacts préalables entre l’intimée et l’expert ne sont pas fondés, l’intimée devant s’assurer que le médecin proposé soit bien disposé à accepter le mandat avant d’octroyer à l’assuré un délai pour faire valoir d’éventuelles causes de récusation. Quant à la divulgation à l’expert du nom de l’expertisé, elle est nécessaire puisque cette information est indispensable au médecin pour qu’il puisse se déterminer sur l’existence d’un motif de récusation.</w:t>
      </w:r>
    </w:p>
    <w:p>
      <w:r>
        <w:rPr>
          <w:b/>
        </w:rPr>
        <w:t>E. 9</w:t>
      </w:r>
    </w:p>
    <w:p>
      <w:r>
        <w:t>Dans ces conditions, les griefs de nature formelle du recourant se révèlent infondés.</w:t>
      </w:r>
    </w:p>
    <w:p>
      <w:r>
        <w:rPr>
          <w:b/>
        </w:rPr>
        <w:t>E. 10</w:t>
      </w:r>
    </w:p>
    <w:p>
      <w:r>
        <w:t>Il convient à présent d’examiner si les atteintes à la santé du recourant sont en rapport de causalité avec l'accident du 13 avril 2011.</w:t>
      </w:r>
    </w:p>
    <w:p>
      <w:r>
        <w:rPr>
          <w:b/>
        </w:rPr>
        <w:t>E. 11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A/3010/2018 - 27/38 -</w:t>
      </w:r>
    </w:p>
    <w:p>
      <w:r>
        <w:rPr>
          <w:b/>
        </w:rPr>
        <w:t>E. 12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13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14</w:t>
      </w:r>
    </w:p>
    <w:p>
      <w:r>
        <w:t>août 2018 consid. 4.1 et 4.2).</w:t>
      </w:r>
    </w:p>
    <w:p>
      <w:r>
        <w:rPr>
          <w:b/>
        </w:rPr>
        <w:t>E. 15</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 arrêt du Tribunal fédéral 8C_720/2012 du 15 octobre 2013 consid. 4).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w:t>
      </w:r>
    </w:p>
    <w:p>
      <w:r>
        <w:t>A/3010/2018 - 29/38 -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16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A/3010/2018 - 30/38 -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17</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w:t>
      </w:r>
    </w:p>
    <w:p>
      <w:r>
        <w:t>A/3010/2018 - 31/38 -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18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A/3010/2018 - 32/38 -</w:t>
      </w:r>
    </w:p>
    <w:p>
      <w:r>
        <w:rPr>
          <w:b/>
        </w:rPr>
        <w:t>E. 19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20</w:t>
      </w:r>
    </w:p>
    <w:p>
      <w:r>
        <w:t>En l’occurrence, l’intimée considère que les atteintes à la santé dont souffre le recourant ne sont pas en lien de causalité adéquate avec l’accident du 13 avril 2011. Elle se fonde sur les rapports d’expertise du Dr R______, lequel a notamment retenu qu’il n’existait pas de substrat organique à la symptomatologie actuelle.</w:t>
      </w:r>
    </w:p>
    <w:p>
      <w:r>
        <w:rPr>
          <w:b/>
        </w:rPr>
        <w:t>E. 21</w:t>
      </w:r>
    </w:p>
    <w:p>
      <w:r>
        <w:t>La chambre de céans constate que le rapport d’expertise du 28 juillet 2017 ne répond pas aux réquisits jurisprudentiels pour se voir reconnaître une quelconque valeur probante. En effet, ce document ne se fonde pas sur un dossier médical complet, étant en particulier relevé que l’expert ne fait référence à aucun rapport postérieur à la consultation de la Dresse L______ du 8 octobre 2014, hormis une IRM du rachis cervical du 31 août 2015. Il ne semble ainsi pas avoir été en possession des rapports de la Dresse M______ du 27 février 2015 (ni d’ailleurs de celui du 3 août 2014 qui n’est pas cité), des Drs O______ et P______ du 19 juin 2015, et du Dr U______ du 28 mars 2017). Ces documents revêtent toutefois une importance certaine dès lors que la Dresse M______ a retenu dans son second rapport le</w:t>
      </w:r>
    </w:p>
    <w:p>
      <w:r>
        <w:t>A/3010/2018 - 33/38 - diagnostic de capsulite rétractile et de syndrome douloureux régional complexe, que les médecins du SMR ont procédé à des examens approfondis sur demande de l’OAI, et que le Dr U______ a indiqué que l’IRM de l’épaule effectuée le 1er février 2017 avait révélé une arthrose acromio-claviculaire avec une composante inflammatoire, ce que le Dr R______ parait ignorer. De plus, si l’expert a relevé, à l’anamnèse socio-professionnelle, l’échec des mesures professionnelles mises en œuvre par l’OAI « au vu du peu de mobilité » de l’épaule et du caractère « irréaliste » du projet de réinsertion professionnelle du recourant, aucune mention n’est cependant faite s’agissant des symptômes apparus lors des mesures et des périodes d’incapacité de travail qui se sont ensuivies. Il est rappelé à ce propos que les stages effectués par le recourant se sont soldés par des échecs, en dépit de sa bonne volonté et de sa parfaite collaboration (cf. rapports du centre d’ORIF du 1er avril 2015 et de PRO du 23 mars 2016). Il a notamment été observé que le travail réalisé dans le respect des limitations fonctionnelles énoncées par les médecins du SMR n’était pas possible, même dans un environnement protégé. L’état de santé du recourant s’était en effet aggravé durant la mesure auprès de PRO, avec notamment une inflammation des deux mains et des deux bras, et il avait finalement été en arrêt de travail (cf. note de l’intimée relative à l’entretien téléphonique du 20 novembre 2015, rapport d’évaluation du</w:t>
      </w:r>
    </w:p>
    <w:p>
      <w:r>
        <w:rPr>
          <w:b/>
        </w:rPr>
        <w:t>E. 23</w:t>
      </w:r>
    </w:p>
    <w:p>
      <w:r>
        <w:t>À cet égard, il sied de relever que la scintigraphie montre, de façon inconstante, une hyperfixation, laquelle peut cependant être absente pour certaines localisations, comme l’épaule, et que l’algodystrophie peut se présenter de multiple façons : phase froide d’emblée ou phase purement chaude, ou alternance de phase froide et de phase chaude. Il convient donc de se référer aux critères diagnostiques pour le syndrome douloureux régional complexe (critères selon Bruehl), lesquels sont les suivants : 1) la présence d’une douleur continue disproportionnée par rapport l’événement initial ; 2) la présence d’au minimum un symptôme présent dans chacune des 4 catégories énumérées ci-dessous : somatosensorielle (hypersensibilité), vasomotrice (température asymétrique, changement de couleur de peau ou couleur de peau asymétrique), sudomotrice/œdème (sudation asymétrique, œdème), motrice/trophique (raideur articulaire, dystonie, tremblement, manque de force, changements de la pilosité ou des ongles) ; 3) au minimum un signe d’examen clinique dans deux de ces catégories : somatosensorielle (allodynie, hyperalgésie), vasomotrice (température asymétrique, changement de couleur de peau ou couleur de peau asymétrique), sudomotrice/œdème (sudation asymétrique, œdème), motrice/trophique (diminution de la mobilité articulaire, dystonie, tremor, faiblesse, changements trophiques de la pilosité ou des ongles). En dehors de la recherche clinique, il est possible de se référer aux critères dits « de Budapest », moins restrictifs, dès lors que le deuxième critère exige uniquement la présence d’au minimum un symptôme présent dans 3 des 4 catégories. À noter la présence d’un critère supplémentaire, 4) aucun autre</w:t>
      </w:r>
    </w:p>
    <w:p>
      <w:r>
        <w:t>A/3010/2018 - 36/38 - diagnostic ne rend mieux compte des signes et des symptômes (http://www.medecine.ups- tlse.fr/DCEM2/module13/2010/M13_Item_221_Algoneurodystrophie.pdf). Dans le cas d’espèce, le Dr R______ s’est contenté de déclarer qu’il ne pouvait pas confirmer le diagnostic de syndrome douloureux régional complexe, retenu par plusieurs médecins (rapports du Dr H______ du 15 mai 2012, du Dr F______ du 2 octobre 2013, de la Dresse M______ du 27 février 2015), sur la base des « éléments du dossier » et de son examen. Or, il sied de rappeler que les résultats des scintigraphies ne sont pas décisifs et que plusieurs pièces du dossier font état de la présence de symptômes typiques de cette atteinte, notamment une hypersensibilité, des dysparesthésies et hypoesthésies, une raideur de l’épaule, une diminution des amplitudes articulaires, une diminution de la coloration de la peau et de la pilosité, une amyotrophie, des mains et des bras rouges et enflés. L’inconstance de ces symptômes pourrait s’expliquer par les différentes phases de la maladie. Les rapports produits ne comportent cependant pas de descriptions complètes des examens cliniques et ne permettent pas de savoir si les médecins consultés ont passé en revue les différents critères diagnostiques de manière à confirmer ou infirmer la présence d’un syndrome douloureux régional complexe, cas échéant d’en dater la survenance, élément indispensable afin d’examiner si la condition relative au délai de latence entre l’accident et l’apparition de l’algodystrophie est réalisée pour admettre le rapport de causalité naturelle.</w:t>
      </w:r>
    </w:p>
    <w:p>
      <w:r>
        <w:rPr>
          <w:b/>
        </w:rPr>
        <w:t>E. 24</w:t>
      </w:r>
    </w:p>
    <w:p>
      <w:r>
        <w:t>Force est donc de constater que le dossier du recourant, insuffisamment instruit, ne permet pas de tirer des conclusions définitives sur son état de santé, de sorte qu’aucune stabilisation ne peut à ce stade être admise. C’est le lieu de relever qu’il aurait été utile que l’intimée sollicite les rapports médicaux obtenus par l’OAI durant les mesures d’ordre professionnel. L’intimée n’était donc pas fondée, sur la base des pièces en sa possession, à mettre fin au paiement des indemnités journalières et à la prise en charge des frais de traitement. Il n’est en l’état pas non plus possible de se prononcer sur le taux de l’indemnité pour atteinte à l’intégrité.</w:t>
      </w:r>
    </w:p>
    <w:p>
      <w:r>
        <w:rPr>
          <w:b/>
        </w:rPr>
        <w:t>E. 25</w:t>
      </w:r>
    </w:p>
    <w:p>
      <w:r>
        <w:t>Compte tenu de ces éléments, il s’impose de renvoyer la cause à l’intimée pour qu’elle en complète l’instruction, en sollicitant les rapports médicaux pertinents qui font défaut, puis en mettant en œuvre une expertise.</w:t>
      </w:r>
    </w:p>
    <w:p>
      <w:r>
        <w:rPr>
          <w:b/>
        </w:rPr>
        <w:t>E. 26</w:t>
      </w:r>
    </w:p>
    <w:p>
      <w:r>
        <w:t>Il se justifie en conséquence d’admettre partiellement le recours, d’annuler la décision du 30 mai 2018 et la décision sur opposition du 5 juillet 2018, et de renvoyer la cause à l’intimée pour instruction complémentaire au sens des considérants et nouvelle décision motivée.</w:t>
      </w:r>
    </w:p>
    <w:p>
      <w:r>
        <w:rPr>
          <w:b/>
        </w:rPr>
        <w:t>E. 27</w:t>
      </w:r>
    </w:p>
    <w:p>
      <w:r>
        <w:t>Le recourant, représenté par un conseil, obtenant partiellement gain de cause, une indemnité de CHF 2’000.- lui est octroyée à titre de participation à ses frais et dépens (art. 61 let. g LPGA ; 89H al. 1 LPA ; art. 6 du règlement sur les frais, émoluments et indemnités en matière administrative du 30 juillet 1986 [RFPA - E 5 10.03]).</w:t>
      </w:r>
    </w:p>
    <w:p>
      <w:r>
        <w:t>A/3010/2018 - 37/38 - La procédure est gratuite (art. 89H al. 1 LPA).</w:t>
      </w:r>
    </w:p>
    <w:p>
      <w:r>
        <w:t>A/3010/2018 - 38/38 -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