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ATAS/138/2018 vom 19. Februar 2018</w:t>
      </w:r>
    </w:p>
    <w:p>
      <w:r>
        <w:t>GE Cour de justice, 2018-02-19, FR</w:t>
      </w:r>
    </w:p>
    <w:p>
      <w:r>
        <w:rPr>
          <w:b/>
        </w:rPr>
        <w:t xml:space="preserve">Quelle: </w:t>
      </w:r>
      <w:r>
        <w:t>https://mcp.opencaselaw.ch/entscheid/ge_gerichte_ATAS_138_2018</w:t>
      </w:r>
    </w:p>
    <w:p>
      <w:r>
        <w:t>FR: GE_GERICHTE ATAS/138/2018 du 19 février 2018</w:t>
      </w:r>
    </w:p>
    <w:p>
      <w:r>
        <w:t>IT: GE_GERICHTE ATAS/138/2018 del 19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A/4931/2017 - 4/5 - Sa compétence pour juger du cas d’espèce est ainsi établie.</w:t>
      </w:r>
    </w:p>
    <w:p>
      <w:r>
        <w:rPr>
          <w:b/>
        </w:rPr>
        <w:t>E. 2</w:t>
      </w:r>
    </w:p>
    <w:p>
      <w:r>
        <w:t>Si l'assurée a agi en temps utile (art. 60 LPGA), il appert que son « recours » ne satisfait pas aux exigences minimales de contenu prescrites par l’art. 61 let. b LPGA, reprises à l’art. 89B LPA. a. La décision rendue par l’autorité intimée rappelait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(ATA/568/2013 du 28 août 2013 consid. 3 et jurisprudence citée), force est de retenir que l’acte de recours déposé par le médecin traitant de la recourante se limite à une simple déclaration de "recours", ne contenant en particulier ni motivation ni exposé, fût-ce succinct, des faits et des motifs invoqués par la recourante, ni conclusions. Émanant de surcroît de son médecin traitant, cet acte ne contient aucune considération médicale permettant de comprendre en quoi la décision entreprise serait erronée. Aussi est-ce à juste titre que la chambre de céans a imparti à la recourante un bref délai,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Bien qu’ayant reçu ledit courrier, dès lors qu'elle a demandé une prolongation du délai qui lui avait été imparti pour rendre son recours conforme aux exigences minimales de la loi, - ce qui lui a été accordé - la recourante n’y a donné aucune suite. c. La sanction du non-respect desdites exigences minimales de contenu, après fixation d’un délai convenable pour remédier aux carences indiquées et annonce de ladite sanction, consiste en l’irrecevabilité du recours. Le présent recours sera donc déclaré irrecevable pour ce motif, et il ne sera pas perçu d'émolument.</w:t>
      </w:r>
    </w:p>
    <w:p>
      <w:r>
        <w:rPr>
          <w:b/>
        </w:rPr>
        <w:t>E. 3</w:t>
      </w:r>
    </w:p>
    <w:p>
      <w:r>
        <w:t>Il sera enfin précisé que dans la mesure où le Dr B______, bien que dûment autorisé à représenter sa patiente dans le cadre de ce recours, ne s'est jamais personnellement manifesté auprès de la chambre de céans, les seuls courriers reçus par la juridiction l'ayant été directement de la part de la recourante, cet arrêt sera directement notifié à cette dernière.</w:t>
      </w:r>
    </w:p>
    <w:p>
      <w:r>
        <w:t>A/4931/2017 - 5/5 -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