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ATAS/138/2009 vom 11. Februar 2009</w:t>
      </w:r>
    </w:p>
    <w:p>
      <w:r>
        <w:t>GE Cour de justice, 2009-02-11, FR</w:t>
      </w:r>
    </w:p>
    <w:p>
      <w:r>
        <w:rPr>
          <w:b/>
        </w:rPr>
        <w:t xml:space="preserve">Quelle: </w:t>
      </w:r>
      <w:r>
        <w:t>https://mcp.opencaselaw.ch/entscheid/ge_gerichte_ATAS_138_2009</w:t>
      </w:r>
    </w:p>
    <w:p>
      <w:r>
        <w:t>FR: GE_GERICHTE ATAS/138/2009 du 11 février 2009</w:t>
      </w:r>
    </w:p>
    <w:p>
      <w:r>
        <w:t>IT: GE_GERICHTE ATAS/138/2009 del 11 febbraio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La compétence du tribunal de céans pour juger du cas d’espèce est ainsi établie.</w:t>
      </w:r>
    </w:p>
    <w:p>
      <w:r>
        <w:rPr>
          <w:b/>
        </w:rPr>
        <w:t>E. 2</w:t>
      </w:r>
    </w:p>
    <w:p>
      <w:r>
        <w:t>Interjeté dans les forme et délai prévus par la loi, le recours est recevable (art. 56 à 60 LPGA).</w:t>
      </w:r>
    </w:p>
    <w:p>
      <w:r>
        <w:rPr>
          <w:b/>
        </w:rPr>
        <w:t>E. 3</w:t>
      </w:r>
    </w:p>
    <w:p>
      <w:r>
        <w:t>Est litigieuse la question de savoir si les troubles présentés par la recourante aussi bien somatiques que psychiatriques constituent une invalidité au sens de l’AI engendrant une incapacité de gain.</w:t>
      </w:r>
    </w:p>
    <w:p>
      <w:r>
        <w:rPr>
          <w:b/>
        </w:rPr>
        <w:t>E. 4</w:t>
      </w:r>
    </w:p>
    <w:p>
      <w:r>
        <w:t>Est réputée invalidité l’incapacité de gain totale ou partielle qui est présumée permanente ou de longue durée (art. 8 al. 1 LPGA). L’invalidité (art. 8 LPGA) peut résulter d’une infirmité congénitale, d’une maladie ou d’un accident (art. 4 al. 1 LAI). En l’occurrence, les avis sont totalement divergents au sujet de la question de l’invalidité de Madame K__________.</w:t>
      </w:r>
    </w:p>
    <w:p>
      <w:r>
        <w:rPr>
          <w:b/>
        </w:rPr>
        <w:t>E. 5</w:t>
      </w:r>
    </w:p>
    <w:p>
      <w:r>
        <w:t>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w:t>
      </w:r>
    </w:p>
    <w:p>
      <w:r>
        <w:t>A/1358/2008 - 5 - sociales, un principe selon lequel l’administration ou le juge devrait statuer, dans le doute, en faveur de l’assuré (ATF 126 V 322 consid. 5 let. a).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 et les références). Meine souligne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 actuelles ? in RSA 1999 p. 37 ss). Dans le même sens, Bühler expose qu'une expertise doit être complète quant aux faits retenus, à ses conclusions et aux réponses aux questions posées. Elle doit être compréhensible, concluante et ne pas trancher des points de droit (Bühler, Erwartungen des Richters an den Sachverständigen, in PJA 1999 p. 567 ss).</w:t>
      </w:r>
    </w:p>
    <w:p>
      <w:r>
        <w:rPr>
          <w:b/>
        </w:rPr>
        <w:t>E. 6</w:t>
      </w:r>
    </w:p>
    <w:p>
      <w:r>
        <w:t>En l'espèce, le Tribunal constate que les doutes émis par la recourante sur la valeur probante des conclusions des rapports du SERVICE MEDICAL REGIONAL sont justifiés. Le Dr. Q________ a, en effet, expliqué de manière convaincante que le fait de ne pas prendre en compte les caractéristiques culturelles avaient une grande importance dans l’appréciation de la situation de Madame K__________ et qu’il conviendrait d’intégrer le contexte psycho-social des origines de la recourante. Cet avis éclairé emporte la conviction du Tribunal, et enlève toute valeur probante aux conclusions du SERVICE MEDICAL REGIONAL et de l’OCAI.</w:t>
      </w:r>
    </w:p>
    <w:p>
      <w:r>
        <w:rPr>
          <w:b/>
        </w:rPr>
        <w:t>E. 7</w:t>
      </w:r>
    </w:p>
    <w:p>
      <w:r>
        <w:t>Par conséquent, vu la jurisprudence susmentionnée, il y a lieu d'ordonner une expertise pluridisciplinaire de la recourante. En application des articles 38 et suivants de la loi sur la procédure administrative (LPA), un délai de 10 jours a été accordé aux parties pour indiquer les questions particulières qu'elles souhaitent voir figurer dans la mission d'expertise, ainsi que pour se déterminer sur le nom des experts, à savoir le Dresse R________, spécialiste FMH médecine interne et rhumatologie et le Dr S________, spécialiste en psychiatrie et psychothérapie, comme expert, tel que proposé par la recourante. ***</w:t>
      </w:r>
    </w:p>
    <w:p>
      <w:r>
        <w:t>A/1358/2008 - 6 -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