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ATAS/137/2024 vom 4. März 2024</w:t>
      </w:r>
    </w:p>
    <w:p>
      <w:r>
        <w:t>GE Cour de justice, 2024-03-04, FR</w:t>
      </w:r>
    </w:p>
    <w:p>
      <w:r>
        <w:rPr>
          <w:b/>
        </w:rPr>
        <w:t xml:space="preserve">Quelle: </w:t>
      </w:r>
      <w:r>
        <w:t>https://mcp.opencaselaw.ch/entscheid/ge_gerichte_ATAS_137_2024</w:t>
      </w:r>
    </w:p>
    <w:p>
      <w:r>
        <w:t>FR: GE_GERICHTE ATAS/137/2024 du 4 mars 2024</w:t>
      </w:r>
    </w:p>
    <w:p>
      <w:r>
        <w:t>IT: GE_GERICHTE ATAS/137/2024 del 4 marzo 2024</w:t>
      </w:r>
    </w:p>
    <w:p>
      <w:pPr>
        <w:pStyle w:val="Heading2"/>
      </w:pPr>
      <w:r>
        <w:t>Erwägungen</w:t>
      </w:r>
    </w:p>
    <w:p>
      <w:r>
        <w:rPr>
          <w:b/>
        </w:rPr>
        <w:t>E. 1</w:t>
      </w:r>
    </w:p>
    <w:p>
      <w:r>
        <w:t>Constate que le recours est devenu sans objet.</w:t>
      </w:r>
    </w:p>
    <w:p>
      <w:r>
        <w:rPr>
          <w:b/>
        </w:rPr>
        <w:t>E. 2</w:t>
      </w:r>
    </w:p>
    <w:p>
      <w:r>
        <w:t>Raye la cause du rôle.</w:t>
      </w:r>
    </w:p>
    <w:p>
      <w:r>
        <w:rPr>
          <w:b/>
        </w:rPr>
        <w:t>E. 3</w:t>
      </w:r>
    </w:p>
    <w:p>
      <w:r>
        <w:t>Alloue à la recourante une indemnité de CHF 2'000.-, à charge de l’intimée.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