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ATAS/137/2011 vom 9. Februar 2011</w:t>
      </w:r>
    </w:p>
    <w:p>
      <w:r>
        <w:t>GE Cour de justice, 2011-02-09, FR</w:t>
      </w:r>
    </w:p>
    <w:p>
      <w:r>
        <w:rPr>
          <w:b/>
        </w:rPr>
        <w:t xml:space="preserve">Quelle: </w:t>
      </w:r>
      <w:r>
        <w:t>https://mcp.opencaselaw.ch/entscheid/ge_gerichte_ATAS_137_2011</w:t>
      </w:r>
    </w:p>
    <w:p>
      <w:r>
        <w:t>FR: GE_GERICHTE ATAS/137/2011 du 9 février 2011</w:t>
      </w:r>
    </w:p>
    <w:p>
      <w:r>
        <w:t>IT: GE_GERICHTE ATAS/137/2011 del 9 febbraio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(ATF 130 V 229 consid. 1.1; 335 consid. 1.2; ATF 129 V 4 consid. 1.2; ATF 127 V 467 consid. 1; ATF 126 V 136 consid. 4b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w:t>
      </w:r>
    </w:p>
    <w:p>
      <w:r>
        <w:t>A/2324/2010 - 7/13 - En l'espèce, la décision litigieuse datant du 23 juin 2010, est postérieure à l'entrée en vigueur de la LPGA ainsi qu'à l'entrée en vigueur, le 1er janvier 2004 et le 1er janvier 2008, des modifications de la loi fédérale sur l'assurance-invalidité du 21 mars 2003 et du 6 octobre 2006 (4ème et 5ème révisions). En revanche, les faits pertinents remontent à 2000 déjà. Par conséquent, du point de vue matériel, le droit éventuel à une rente d'invalidité doit être examiné jusqu’au 31 décembre 2002 à la lumière des règles en vigueur à ce moment-là et, après le 1er janvier 2003, respectivement le 1er janvier 2004 et le 1er janvier 2008, en fonction des nouvelles normes de la LPGA et des modifications de la LAI consécutives à la 4ème et la 5ème révisions de cette loi, dans la mesure de leur pertinence (ATF 130 V 445 et les références; voir également ATF 130 V 329). En ce qui concerne les règles de procédure, le nouveau droit s'applique sans réserve dès le jour de son entrée en vigueur (ATF 117 V 71 consid. 6b; 112 V 360 consid. 4a; RAMA 1998 KV 37 p. 316 consid. 3b).</w:t>
      </w:r>
    </w:p>
    <w:p>
      <w:r>
        <w:rPr>
          <w:b/>
        </w:rPr>
        <w:t>E. 3</w:t>
      </w:r>
    </w:p>
    <w:p>
      <w:r>
        <w:t>Interjeté dans la forme et le délai prévus par la loi, le recours est recevable (art. 56 et 60 LPGA ; art. 89B de la loi sur la procédure administrative, du 12 septembre 1985 - LPA ; RS E 5 10).</w:t>
      </w:r>
    </w:p>
    <w:p>
      <w:r>
        <w:rPr>
          <w:b/>
        </w:rPr>
        <w:t>E. 4</w:t>
      </w:r>
    </w:p>
    <w:p>
      <w:r>
        <w:t>Le litige porte sur le droit à la rente de la recourante, plus particulièrement sur le degré d’invalidité et la suppression de la rente au 30 septembre 2009.</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w:t>
      </w:r>
    </w:p>
    <w:p>
      <w:r>
        <w:t>A/2324/2010 - 8/13 -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 LPGA, mais pas avant le mois qui suit son dix-huitième anniversaire. b)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A/2324/2010 - 9/13 -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b) L'invalidité d'un assuré qui n'exerce que partiellement une activité lucrative est, pour cette part, évaluée selon la méthode ordinaire de comparaison des revenus ou selon la méthode extraordinaire d'évaluation. S'il se consacre en outre à ses travaux habituels, l'invalidité est fixée selon la méthode spécifique pour cette activité. Ainsi, il faut évaluer d'une part l'invalidité dans les travaux habituels par comparaison des activités (art. 27 RAI) et d'autre part l'invalidité dans une activité lucrative par comparaison des revenus (art. 28 al. 2 LAI);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C'est la méthode mixte d'évaluation de l'invalidité (jusqu'au 31 décembre 2002: art. 28 al. 3 LAI en corrélation avec l'art. 27bis al. 1 et 2 RAI; du 1er janvier au 31 décembre 2003: art. 28 al. 3 LAI en corrélation avec les art. 27bis al. 1 et 2 RAI et 8 al. 3 LPGA, ainsi que l'art. 16 LPGA; depuis le 1er janvier 2004: art. 28 al. 2ter LAI en corrélation avec les art. 27bis RAI et 16 LPGA, ainsi que l'art. 28 al. 2bis LAI en corrélation avec les art. 27 RAI et 8 al. 3 LPGA). Le choix de la méthode d'évaluation (méthode générale de comparaison des revenus, méthode mixte) dépendra du statut du bénéficiaire potentiel de la rente : assuré exerçant une activité lucrative à temps complet, assuré exerçant une activité lucrative à temps partiel. On décidera que l'assuré appartient à l'une ou l'autre de ces trois catégories en fonction de ce qu'il aurait fait - les circonstances étant par ailleurs restées les mêmes - si l'atteinte à la santé n'était pas survenue. En pratique,</w:t>
      </w:r>
    </w:p>
    <w:p>
      <w:r>
        <w:t>A/2324/2010 - 10/13 -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8</w:t>
      </w:r>
    </w:p>
    <w:p>
      <w:r>
        <w:t>En l’espèce, selon les rapports médicaux figurant au dossier et le rapport d’expertise du Dr O__________, il n’est pas contesté que la recourante, en raison de l’affection cardiaque sévère diagnostiquée en 1992, n’est plus en mesure d’exercer l’activité de nettoyeuse. Demeure litigieuse la question de savoir si et dans quelle mesure l’état de santé de la recourante lui permet d’exercer une activité adaptée, et, le cas échéant, depuis quand. Le Dr M__________, médecin traitant, ne s’est pas prononcé formellement sur la capacité de travail. Il a mentionné dans son rapport à l’attention de l’intimé que la patiente avait arrêté d’elle-même son activité professionnelle depuis 2000. En revanche, il a fait état de nombreuses limitations fonctionnelles et indiqué qu’aucune activité ne lui paraissait envisageable. Quant au Dr L__________, il a attesté dans son rapport du 2 juin 2008 d’une incapacité de travail totale, sans</w:t>
      </w:r>
    </w:p>
    <w:p>
      <w:r>
        <w:t>A/2324/2010 - 11/13 - pouvoir en préciser le début, renvoyant sur ce point au Dr M__________. Selon le cardiologue, la patiente ne peut effectuer aucun travail et compte tenu de son niveau socio-éducatif, une réadaptation professionnelle est illusoire. Enfin, les médecins des HUG ne se prononcent pas non plus formellement sur la capacité de travail de la recourante, mais signalent, dans leurs divers rapports, des décompensations cardiaques en 2006, avec en septembre 2006, une fibrillation auriculaire. Dans son rapport d’expertise du 3 septembre 2009, le Dr O__________ a expliqué que l’évolution progressive et les complications de la maladie mitrale (lésions sévères de la valve qui ont nécessité un remplacement par une prothèse, hypertension pulmonaire et fibrillation auriculaire) ont abouti à un handicap important et à une inactivité progressive. Selon l’expert, actuellement, la patiente est en état stable, sans possibilité d’amélioration prévisible et elle demeure sévèrement limitée dans ses activités physiques. Les problèmes cardiaques de la recourante ne lui permettent pas d’effectuer des efforts modérés ou soutenus ni de se déplacer rapidement. Seules des activités sédentaires sont envisageables, avec des déplacements limités dans un périmètre de 50 à 100 mètres, mais les possibilités de reclassement professionnel semblent très limitées en raison des limitations physiques, linguistiques et la formation réduite de l’assurée. La diminution de rendement devrait être estimée en fonction de l’activité envisagée. Il est possible que la patiente ne puisse pas parvenir à suivre une formation professionnelle en raison de ses limitations physiques sévères, de l’absence de formation antérieure et de ses capacités limitées en français. Selon l’expert, l’incapacité de travail était probablement supérieure à 20 % entre 1994 et 2006, et depuis novembre 2006, elle est de 100 %. Le SMR, se fondant sur le rapport d’expertise, a retenu une incapacité de travail de 100 % dans toute activité depuis novembre 2006 et une capacité de travail totale dans une activité adaptée depuis le 1er juillet 2009, soit plus d’un mois après l’intervention par radio-fréquence. La Cour de céans relève que les diagnostics et les limitations physiques retenus par l’expert dans son rapport d’expertise circonstancié rejoignent ceux retenus par le médecin traitant et les spécialistes en cardiologie qui ont suivi la recourante. Sur ce point, l’expertise revêt pleine valeur probante. S’agissant de la capacité de travail, l’expert retient une incapacité de travail totale depuis novembre 2006. Or, selon les rapports de la clinique de chirurgie cardio- vasculaire des HUG des 15 et 19 janvier 2007, il est fait état d’une fibrillation auriculaire persistante depuis le mois de septembre 2006 avec tentative de cardioversion électrique en novembre 2006 et de trois décompensations cardiaques gauches en octobre, novembre et décembre 2006. La recourante a été hospitalisée du 2 au 10 octobre 2006 (rapport HUG du 12 octobre 2006), du 27 décembre 2006 au 4 janvier 2007 et du 13 janvier au 15 janvier 2007. Dans un rapport du 23 février</w:t>
      </w:r>
    </w:p>
    <w:p>
      <w:r>
        <w:t>A/2324/2010 - 12/13 - 2007, les cardiologues des HUG mentionnent notamment un thrombus au niveau de l’oreillette gauche en septembre 2006 et une fibrillation auriculaire chronique. En se fondant sur ces rapports médicaux, la Cour de céans considère qu’il convient de retenir une incapacité de travail totale depuis le mois de septembre 2006 déjà. Pour la période antérieure, l’expert indique que l’incapacité de travail était probablement supérieure à 20 %, sans pouvoir préciser davantage. Ce point doit être investigué, notamment après des médecins cardiologues qui suivent la recourante depuis de nombreuses années, afin qu’ils se prononcent de façon précise sur le taux et les périodes d’incapacité de travail dans l’activité habituelle et dans une activité adaptée, de même que sur la diminution de rendement. La Cour de céans rappelle que ces informations sont indispensables pour fixer correctement le point de départ de la rente d’invalidité. En effet, en présence d’une longue maladie et d’une incapacité de travail durable, il convient pour calculer l’incapacité de travail moyenne et le délai d’attente de procéder conformément aux chiffres 2027ss de la Circulaire concernant l’invalidité et l’impotence de l’assurance-invalidité (CIIAI - et annexe II), ce que l’intimé n’a point fait. Quant à la capacité de travail dans une activité adaptée, la Cour de céans ne saurait se rallier à l’avis du SMR. En effet, il convient de relever que la recourante a présenté de nouvelles complications après l’expertise du 3 septembre 2009, avec une hospitalisation, ainsi qu’elle l’avait signalé lors de l’enquête ménagère ; l’intimé n’a toutefois pas effectué d’instruction complémentaire. Selon le rapport des HUG du 30 octobre 2009, la recourante a été hospitalisée du 19 octobre 2009 au 26 octobre 2009 en raison d’une fibrillation auriculaire avec réponse ventriculaire rapide et d’hypertension artérielle pulmonaire sévère post-capillaire. Le SMR considère que l’évolution a été favorable, mais admet une incapacité de travail dans toute activité globalement un mois avant et après les dates d’entrée et de sortie de l’hôpital. La Cour de céans ne saurait se rallier sans autre à cette appréciation et considère que cette question doit faire l’objet d’investigations complémentaires auprès des médecins spécialistes. Quoi qu’il en soit, c’est à tort que l’intimé a supprimé la rente d’invalidité au 30 septembre 2009, les conditions de l’art. 88a al. 1 du Règlement sur l’assurance- invalidité du 17 janvier 1961 (RAI, RS 831.201) n’étant pas remplies.</w:t>
      </w:r>
    </w:p>
    <w:p>
      <w:r>
        <w:rPr>
          <w:b/>
        </w:rPr>
        <w:t>E. 9</w:t>
      </w:r>
    </w:p>
    <w:p>
      <w:r>
        <w:t>Au vu de ce qui précède, la Cour de céans n’est pas en mesure de tirer des conclusions claires et définitives quant à la capacité de travail de la recourante et par conséquent de statuer sur son droit aux prestations.</w:t>
      </w:r>
    </w:p>
    <w:p>
      <w:r>
        <w:t>Le recours est admis et la cause renvoyée à l’intimé pour instruction complémentaire et nouvelle décision dûment motivée.</w:t>
      </w:r>
    </w:p>
    <w:p>
      <w:r>
        <w:rPr>
          <w:b/>
        </w:rPr>
        <w:t>E. 10</w:t>
      </w:r>
    </w:p>
    <w:p>
      <w:r>
        <w:t>L’émolument, fixé à 500 fr., est mis à la charge de l’intimé, qui succombe (cf. art. 69 al. 1bis LAI).</w:t>
      </w:r>
    </w:p>
    <w:p>
      <w:r>
        <w:t>A/2324/2010 - 13/13 -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