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ATAS/1378/2008 vom 27. November 2008</w:t>
      </w:r>
    </w:p>
    <w:p>
      <w:r>
        <w:t>GE Cour de justice, 2008-11-27, FR</w:t>
      </w:r>
    </w:p>
    <w:p>
      <w:r>
        <w:rPr>
          <w:b/>
        </w:rPr>
        <w:t xml:space="preserve">Quelle: </w:t>
      </w:r>
      <w:r>
        <w:t>https://mcp.opencaselaw.ch/entscheid/ge_gerichte_ATAS_1378_2008</w:t>
      </w:r>
    </w:p>
    <w:p>
      <w:r>
        <w:t>FR: GE_GERICHTE ATAS/1378/2008 du 27 novembre 2008</w:t>
      </w:r>
    </w:p>
    <w:p>
      <w:r>
        <w:t>IT: GE_GERICHTE ATAS/1378/2008 del 27 novembre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Interjeté en temps utile, le recours est recevable (art. 60 LPGA).</w:t>
      </w:r>
    </w:p>
    <w:p>
      <w:r>
        <w:rPr>
          <w:b/>
        </w:rPr>
        <w:t>E. 3</w:t>
      </w:r>
    </w:p>
    <w:p>
      <w:r>
        <w:t>Le litige porte sur le droit du recourant à des prestations de l'intimée en raison de l'atteinte à sa main gauche au-delà du 31 mars 2008 et plus particulièrement sur la question de déterminer si cette atteinte entraîne une incapacité de travail au-delà de cette date. En revanche, il est à constater que le recourant ne conteste pas le refus de toute prestation lié à l'accident du 1er novembre 2007.</w:t>
      </w:r>
    </w:p>
    <w:p>
      <w:r>
        <w:rPr>
          <w:b/>
        </w:rPr>
        <w:t>E. 4</w:t>
      </w:r>
    </w:p>
    <w:p>
      <w:r>
        <w:t>a) L'assurance-accidents est en principe tenue d'allouer ses prestations en cas d'accident professionnel ou non professionnel (art. 6 al. 1 LAA), en particulier une indemnité journalière (art. 16 al. 1 LAA).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w:t>
      </w:r>
    </w:p>
    <w:p>
      <w:r>
        <w:t>A/3655/2008 - 6/9 -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w:t>
      </w:r>
    </w:p>
    <w:p>
      <w:r>
        <w:rPr>
          <w:b/>
        </w:rPr>
        <w:t>E. 5</w:t>
      </w:r>
    </w:p>
    <w:p>
      <w:r>
        <w:t>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A/3655/2008 - 7/9 -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w:t>
      </w:r>
    </w:p>
    <w:p>
      <w:r>
        <w:rPr>
          <w:b/>
        </w:rPr>
        <w:t>E. 6</w:t>
      </w:r>
    </w:p>
    <w:p>
      <w:r>
        <w:t>En l'espèce, l'expertise de la CRR du 2 janvier 2008 établie à la suite d'un séjour du recourant du 7 novembre au 3 décembre 2007 répond aux critères jurisprudentiels précités pour qu'il lui soit reconnu une pleine valeur probante. Selon ses conclusions, le tableau clinique du recourant est dominé par un comportement d'épargne de la main gauche et les plaintes sont importantes avec des données objectives discrètes. L'incapacité de travail est entière comme maçon jusqu'au 4 janvier 2008 avec la précision qu'elle est encore justifiée pour permettre de juger du résultat de l'auto-rééducation et du traitement médicamenteux. Le 6 février 2008, le Dr P__________, après avoir examiné le recourant, a confirmé les conclusions de l'expertise de la CRR et constaté qu'il n'y avait pas d'explication somatique à l'état actuel d'exclusion fonctionnelle de la main gauche. A cet égard, les avis du Dr M__________ des 26 février, 15 juillet et 24 septembre 2008 ne sont pas à même de remettre en cause les conclusions de l'expertise de la</w:t>
      </w:r>
    </w:p>
    <w:p>
      <w:r>
        <w:t>A/3655/2008 - 8/9 - CRR. En effet, émanant du médecin-traitant généraliste, ces avis se bornent à requérir un prolongement du versement de l'indemnité journalière jusqu'à septembre 2008 au motif que le recourant était encore incapable de travailler comme maçon pendant cette période en raison de l'état de sa main, sans expliquer toutefois les causes d'une telle incapacité de travail totale ni en quoi les constatations et conclusions de la CRR ne seraient pas fondées.</w:t>
      </w:r>
    </w:p>
    <w:p>
      <w:r>
        <w:rPr>
          <w:b/>
        </w:rPr>
        <w:t>E. 7</w:t>
      </w:r>
    </w:p>
    <w:p>
      <w:r>
        <w:t>En conséquence, ces avis ne sauraient prévaloir sur celui, motivé, de la CRR. L'intimée ayant versé des prestations jusqu'au 31 mars 2008, le recours ne peut qu'être rejeté.</w:t>
      </w:r>
    </w:p>
    <w:p>
      <w:r>
        <w:t>A/3655/2008 - 9/9 -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