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ATAS/1377/2008 vom 27. November 2008</w:t>
      </w:r>
    </w:p>
    <w:p>
      <w:r>
        <w:t>GE Cour de justice, 2008-11-27, FR</w:t>
      </w:r>
    </w:p>
    <w:p>
      <w:r>
        <w:rPr>
          <w:b/>
        </w:rPr>
        <w:t xml:space="preserve">Quelle: </w:t>
      </w:r>
      <w:r>
        <w:t>https://mcp.opencaselaw.ch/entscheid/ge_gerichte_ATAS_1377_2008</w:t>
      </w:r>
    </w:p>
    <w:p>
      <w:r>
        <w:t>FR: GE_GERICHTE ATAS/1377/2008 du 27 novembre 2008</w:t>
      </w:r>
    </w:p>
    <w:p>
      <w:r>
        <w:t>IT: GE_GERICHTE ATAS/1377/2008 del 27 novembre 2008</w:t>
      </w:r>
    </w:p>
    <w:p>
      <w:pPr>
        <w:pStyle w:val="Heading2"/>
      </w:pPr>
      <w:r>
        <w:t>Erwägungen</w:t>
      </w:r>
    </w:p>
    <w:p>
      <w:r>
        <w:rPr>
          <w:b/>
        </w:rPr>
        <w:t>E. 1</w:t>
      </w:r>
    </w:p>
    <w:p>
      <w:r>
        <w:t>Par ordonnance du 6 décembre 2007, le Tribunal de céans a déclaré le recours recevable.</w:t>
      </w:r>
    </w:p>
    <w:p>
      <w:r>
        <w:rPr>
          <w:b/>
        </w:rPr>
        <w:t>E. 2</w:t>
      </w:r>
    </w:p>
    <w:p>
      <w:r>
        <w:t>L'objet du litige porte sur le droit de la recourante à des prestations de l'assurance- invalidité, en particulier sur le caractère invalidant de son atteinte à la santé.</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w:t>
      </w:r>
    </w:p>
    <w:p>
      <w:r>
        <w:t>A/1057/2007 - 9/17 -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Dans sa teneur antérieure au 1er janvier 2004, l'art. 28 al. 1 LAI prévoyait le droit à une rente entière d'invalidité en cas d'invalidité de 662/3 % au moins, à une demi- rente en cas d'invalidité de 50 % et à un quart de rente en cas d'invalidité de 40 %.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w:t>
      </w:r>
    </w:p>
    <w:p>
      <w:r>
        <w:t>A/1057/2007 - 10/17 -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A/1057/2007 - 11/17 -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w:t>
      </w:r>
    </w:p>
    <w:p>
      <w:r>
        <w:t>A/1057/2007 - 12/17 -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Parmi les atteintes à la santé psychique, qui peuvent, comme les atteintes physiques, provoquer une invalidité au sens de l'art. 4 al. 1 LAI en liaison avec l'art.</w:t>
      </w:r>
    </w:p>
    <w:p>
      <w:r>
        <w:rPr>
          <w:b/>
        </w:rPr>
        <w:t>E. 8</w:t>
      </w:r>
    </w:p>
    <w:p>
      <w:r>
        <w:t>a) En l'espèce, le Dr S__________, mandaté dans le cadre de l'expertise judiciaire selon l'ordonnance du 6 décembre 2007, a rendu son expertise et un complément les 7 août et 15 octobre 2008. L'intimé conteste la valeur probante de cette expertise, tant à la forme que sur le fond. b) Du point de vue formel, il y a lieu de constater que l'ordonnance d'expertise confiait celle-ci au Dr S__________ et que les parties n'ont ainsi pas eu l'occasion de se prononcer sur une éventuelle cause de récusation de la Dresse U_________, co-auteur du rapport d'expertise. A cet égard, le Tribunal fédéral estime qu'il convient, en matière de récusation,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w:t>
      </w:r>
    </w:p>
    <w:p>
      <w:r>
        <w:t>A/1057/2007 - 14/17 -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(arrêt du Tribunal fédéral du 12 février 2007, I 88/06). En l'espèce, il est apparu dès le courrier du 9 mai 2008 de la Dresse U_________ qu'elle œuvrait avec le Dr S__________ dans le cadre de l'expertise judiciaire, ce dont les parties ont été informées. Ni à l'époque, ni encore à ce jour, les parties n'ont cependant fait valoir un quelconque motif de récusation à l'encontre de la Dresse U_________. Par ailleurs, celle-ci a précisé qu'elle était titulaire du diplôme de médecin depuis 2002 mais encore en formation psychiatrique. Point n'est toutefois besoin de trancher la question de sa compétence suffisante puisque le Dr S__________ a, à tout le moins, reçu la recourante pour un entretien le 4 juin 2008 et cosigné le rapport de sorte que, sous l'angle formel, il a participé de façon suffisante à son élaboration étant précisé qu'un expert a toujours la faculté de s'adjoindre une tierce personne et est, à cet égard, libre dans son choix (F. PAYCHERE, le juge et l'expert - plaidoyer pour une meilleure compréhension in L'expertise médicale, 2002, p. 142). c) Sur le fond, l'expertise répond aux critères jurisprudentiels précités pour qu'il lui soit reconnu une pleine valeur probante. Elle repose sur plusieurs entretiens avec la recourante, présente une anamnèse complète et détaillée, comprenant en particulier un historique des consommations de toxiques, un status psychiatrique et conclut à des diagnostics clairs avec et sans répercussion sur la capacité de travail, en particulier à la présence d'un trouble dépressif récurrent, épisode actuel modéré à sévère, sans symptôme psychotique avec épuisement et sentiment de désespoir, entraînant une incapacité de travail de longue date de 50 % et actuellement de 50 à 60 % dans toute activité. Dans le complément du 15 octobre 2008, les Drs S__________ et U_________ ont précisé en détail les raisons qui leur avaient permis de retenir un diagnostic de trouble dépressif récurrent avec épisode dépressif actuel modéré à sévère tout en relevant que l'état de stress post-traumatique était retenu en fonction des traumatismes subis. En particulier, les critiques émises par la Dresse T__________ le 5 septembre 2008 ne résistent pas à l'examen. En effet, s'il est vrai que l'état de stress post-traumatique a été peu explicité dans l'expertise, il n'en demeure pas moins que les experts ont expliqués qu'il reposait sur les traumatismes subis, eux-mêmes détaillés de façon précise dans l'anamnèse, étant par ailleurs constaté que l'incapacité de travail est principalement due au trouble dépressif récurrent (cf. expertise "réponses aux questions"). S'agissant de ce dernier, la Dresse T__________ se borne à indiquer sans motivation qu'il n'est, selon elle, que de degré léger à moyen selon les critères de la CIM-10, critique qui ne saurait en conséquence être retenue. Enfin, le seul fait</w:t>
      </w:r>
    </w:p>
    <w:p>
      <w:r>
        <w:t>A/1057/2007 - 15/17 - que les experts ont indiqué qu'ils estimaient qu'une rente d'invalidité était justifiée, alors que l'expert doit en effet s'abstenir de répondre à toute question juridique (F. PAYCHERE op. cit. p. 147) ne permet pas de dénier toute valeur probante médicale à l'expertise. d) Au vu de ce qui précède, il y a lieu de suivre les conclusions de l'expertise judiciaire, laquelle conclut à une incapacité de travail depuis dix ans de 50 % et au jour de l'expertise de 50 à 60 %. S'agissant du taux de travail de la recourante, il convient de constater que, selon l'employeur, celle-ci a un horaire moyen de 21 heures par semaine (soit la moyenne entre 18 et 24 heures par semaine, selon l'horaire irrégulier annoncé par l'employeur). Comparé à l'horaire normal dans l'entreprise de 42,5 heures, son temps de travail est ainsi de 49,4 %. Aussi, la capacité de travail actuelle n'est-elle pas de 60 % comme mentionné par les experts mais de 49,4 % depuis le 1er mai 2004. Or, selon les experts le taux de travail actuel de la recourante est le maximum exigible, étant relevé qu'une diminution de celui-ci serait même souhaitable. En conséquence, il convient de constater que la recourante subit actuellement une incapacité de travail de 50,6 %, et cela depuis le 1er mai 2004. Depuis environ dix ans, soit depuis 1998 l'incapacité de travail est de 50 % dans toute activité. Ainsi son degré d'invalidité est de 50 % de 1998 au 30 avril 2004 et de 50,6 % depuis le 1er mai 2004. La recourante a ainsi droit à une demi rente d'invalidité (art. 28 LAI dans sa teneur avant et après le 1er janvier 2004) depuis le 1er juillet 2003, en application de l'art. 48 al. 2 LAI (dans sa teneur en vigueur jusqu'au 31 décembre 2007), sa demande de prestations ayant été déposée le 14 juillet 2004.</w:t>
      </w:r>
    </w:p>
    <w:p>
      <w:r>
        <w:rPr>
          <w:b/>
        </w:rPr>
        <w:t>E. 9</w:t>
      </w:r>
    </w:p>
    <w:p>
      <w:r>
        <w:t>a) Au vu de ce qui précède, le recours sera admis, la décision litigieuse annulée et il sera dit que la recourante a droit à une demi rente d'invalidité dès le 1er juillet 2003.</w:t>
      </w:r>
    </w:p>
    <w:p>
      <w:r>
        <w:t>b) Enfin, si la situation de la recourante devait, comme annoncé par les experts, se péjorer de telle sorte que son incapacité de travail augmente et atteigne 60 %, elle pourra toujours déposer une demande de révision. c)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A/1057/2007 - 16/17 - Un émolument de 500 fr. sera ainsi mis à la charge de l'intimé qui succombe (art. 69 al. 1bis LAI).</w:t>
      </w:r>
    </w:p>
    <w:p>
      <w:r>
        <w:t>A/1057/2007 - 17/17 -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