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ATAS/1376/2012 vom 15. November 2012</w:t>
      </w:r>
    </w:p>
    <w:p>
      <w:r>
        <w:t>GE Cour de justice, 2012-11-15, FR</w:t>
      </w:r>
    </w:p>
    <w:p>
      <w:r>
        <w:rPr>
          <w:b/>
        </w:rPr>
        <w:t xml:space="preserve">Quelle: </w:t>
      </w:r>
      <w:r>
        <w:t>https://mcp.opencaselaw.ch/entscheid/ge_gerichte_ATAS_1376_2012</w:t>
      </w:r>
    </w:p>
    <w:p>
      <w:r>
        <w:t>FR: GE_GERICHTE ATAS/1376/2012 du 15 novembre 2012</w:t>
      </w:r>
    </w:p>
    <w:p>
      <w:r>
        <w:t>IT: GE_GERICHTE ATAS/1376/2012 del 15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w:t>
      </w:r>
    </w:p>
    <w:p>
      <w:r>
        <w:t>A/1266/2012 - 4/6 -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w:t>
      </w:r>
    </w:p>
    <w:p>
      <w:r>
        <w:rPr>
          <w:b/>
        </w:rPr>
        <w:t>E. 4</w:t>
      </w:r>
    </w:p>
    <w:p>
      <w:r>
        <w:t>L’intimé ayant rendu en date du 28 juin 2012 une nouvelle décision appliquant le barème pour personne seule dès le 1er mars 2012, le litige ne porte plus que sur la période antérieure, soit du 1er octobre 2011 au 28 février 2012, période durant laquelle l’intimé soutient que c’est le barème pour couple qui doit s’appliquer, ce que conteste le recourant.</w:t>
      </w:r>
    </w:p>
    <w:p>
      <w:r>
        <w:rPr>
          <w:b/>
        </w:rPr>
        <w:t>E. 5</w:t>
      </w:r>
    </w:p>
    <w:p>
      <w:r>
        <w:t>Selon l’art. 9 al. 1 LPC, les dépenses reconnues et revenus déterminants des conjoints sont additionnés, étant précisé que la notion de conjoint vaut également pour les partenaires enregistrés en vertu l'art. 13 al. 1 let. a LPGA. L’art. 1 al. 1 de l’ordonnance sur les prestations complémentaires à l’assurance- vieillesse, survivants et invalidité (OPC-AVS/AI ; RS 831.301) prévoit que chacun des époux vivant séparés a droit aux prestations. L’alinéa 4 de cette disposition précise que les époux sont considérés comme vivant séparés : a) si la séparation de corps a été prononcée par décision judiciaire, ou b) si l'instance de divorce ou de séparation de corps est en cours, ou c) si la séparation de faits dure sans interruption depuis un an au moins ou d) s'il est rendu vraisemblable que la séparation de fait durera relativement longtemps.</w:t>
      </w:r>
    </w:p>
    <w:p>
      <w:r>
        <w:t>A/1266/2012 - 5/6 - En matière de prestations cantonales, les mêmes principes s’appliquent, vu le silence de la loi cantonale.</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