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ATAS/1374/2012 vom 15. November 2012</w:t>
      </w:r>
    </w:p>
    <w:p>
      <w:r>
        <w:t>GE Cour de justice, 2012-11-15, FR</w:t>
      </w:r>
    </w:p>
    <w:p>
      <w:r>
        <w:rPr>
          <w:b/>
        </w:rPr>
        <w:t xml:space="preserve">Quelle: </w:t>
      </w:r>
      <w:r>
        <w:t>https://mcp.opencaselaw.ch/entscheid/ge_gerichte_ATAS_1374_2012</w:t>
      </w:r>
    </w:p>
    <w:p>
      <w:r>
        <w:t>FR: GE_GERICHTE ATAS/1374/2012 du 15 novembre 2012</w:t>
      </w:r>
    </w:p>
    <w:p>
      <w:r>
        <w:t>IT: GE_GERICHTE ATAS/1374/2012 del 15 novembre 2012</w:t>
      </w:r>
    </w:p>
    <w:p>
      <w:pPr>
        <w:pStyle w:val="Heading2"/>
      </w:pPr>
      <w:r>
        <w:t>Erwägungen</w:t>
      </w:r>
    </w:p>
    <w:p>
      <w:r>
        <w:rPr>
          <w:b/>
        </w:rPr>
        <w:t>E. 5</w:t>
      </w:r>
    </w:p>
    <w:p>
      <w:r>
        <w:t>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w:t>
      </w:r>
    </w:p>
    <w:p>
      <w:r>
        <w:rPr>
          <w:b/>
        </w:rPr>
        <w:t>E. 7</w:t>
      </w:r>
    </w:p>
    <w:p>
      <w:r>
        <w:t>En l’espèce, l’intimé reconnaît qu’il y aurait formalisme excessif à refuser de prendre en compte une situation concrète établie mais soutient que tel n’est pas le cas en l’occurrence car le dossier ne contient que les « déclarations de l'adverse partie ».</w:t>
      </w:r>
    </w:p>
    <w:p>
      <w:r>
        <w:t>A/693/2012 - 6/7 - La Cour de céans ne saurait le suivre sur ce point. Il y a lieu de rappeler en premier lieu que la « partie adverse » est en l’occurrence un service cantonal dont on peut raisonnablement attendre qu’il ne dissimule pas la réalité des faits. La Cour a renoncé à un transport sur place au vu de l’état psychique de la bénéficiaire et du fait qu’il lui a paru suffisant d’envoyer sa tutrice sur place afin de rendre compte de la situation. Or, Madame A_________ a attesté, après une visite des lieux, que sa pupille vivait seule dans un appartement de trois pièces comprenant une cuisine, une chambre à coucher et un salon, ne contenant que les affaires personnelles de sa pupille et dont l'aménagement était conforme à l'usage que peut en faire une personne seule. C’est faire bien peu de cas du témoignage de la collaboratrice du STA que de laisser entendre que les dires des époux I__________ qui, à la différence de la tutrice, pourraient avoir un intérêt personnel à dénaturer les faits - pourraient se voir accorder plus de poids. Telle n’est pas l’opinion de la Cour de céans puisqu’ainsi qu’il a été dit, la tutrice a procédé à un examen de l’appartement. On rappellera à cet égard que l’intimé a d’ailleurs donné son accord pour ce faire. Qui plus est, les éventuelles déclarations des époux I__________ pourraient être sujettes à caution puisqu’ils peuvent - eux - avoir un intérêt personnel à conserver une adresse à Genève. S’ajoutent aux constatations de la tutrice le fait que le contrat de sous-location porte bel et bien sur un appartement - et non une chambre ou un espace délimité - et que 860 fr. sont prélevés chaque mois à titre de loyer. Dans ces conditions, il apparaît injustifié de tirer la conclusion du seul fait que les locataires n’ont pas informé l’OCP du fait qu’ils n’étaient plus domiciliés à cette adresse qu’ils partageraient un appartement de trois pièces (dont une seule chambre à coucher) avec l’intéressée. Eu égard aux considérations qui précèdent, le recours est admis et la cause renvoyée à l’intimé pour nouveau calcul tenant compte d’un loyer annuel de 10'320 fr.</w:t>
      </w:r>
    </w:p>
    <w:p>
      <w:r>
        <w:t>A/693/2012 - 7/7 - PAR CES MOTIFS, LA CHAMBRE DES ASSURANCES SOCIALES : Statuant A la forme : 1. Déclare le recours recevable. Au fond : 2. L’admet. 3. Annule les décisions des 25 mai 2011 et 31 janvier 2012. 4. Renvoie la cause à l’intimé pour nouveau calcul tenant compte d’un loyer annuel de 10'320 fr.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Juge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