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ATAS/1374/2009 vom 10. November 2009</w:t>
      </w:r>
    </w:p>
    <w:p>
      <w:r>
        <w:t>GE Cour de justice, 2009-11-10, FR</w:t>
      </w:r>
    </w:p>
    <w:p>
      <w:r>
        <w:rPr>
          <w:b/>
        </w:rPr>
        <w:t xml:space="preserve">Quelle: </w:t>
      </w:r>
      <w:r>
        <w:t>https://mcp.opencaselaw.ch/entscheid/ge_gerichte_ATAS_1374_2009</w:t>
      </w:r>
    </w:p>
    <w:p>
      <w:r>
        <w:t>FR: GE_GERICHTE ATAS/1374/2009 du 10 novembre 2009</w:t>
      </w:r>
    </w:p>
    <w:p>
      <w:r>
        <w:t>IT: GE_GERICHTE ATAS/1374/2009 del 10 novembre 2009</w:t>
      </w:r>
    </w:p>
    <w:p>
      <w:pPr>
        <w:pStyle w:val="Heading2"/>
      </w:pPr>
      <w:r>
        <w:t>Erwägungen</w:t>
      </w:r>
    </w:p>
    <w:p>
      <w:r>
        <w:rPr>
          <w:b/>
        </w:rPr>
        <w:t>E. 5</w:t>
      </w:r>
    </w:p>
    <w:p>
      <w:r>
        <w:t>Une analyse quantifiée de la marche a été effectuée au laboratoire de cinésiologie le</w:t>
      </w:r>
    </w:p>
    <w:p>
      <w:r>
        <w:rPr>
          <w:b/>
        </w:rPr>
        <w:t>E. 7</w:t>
      </w:r>
    </w:p>
    <w:p>
      <w:r>
        <w:t>Interrogé par l'OCAI, le Dr N___________ a souligné le 9 octobre 2008 qu'il n'avait vu ce patient que dans le cadre d'un second avis et qu'il ne s'était pas prononcé sur sa capacité de travail, ni sur ses limitations fonctionnelles. Il a cependant joint à son envoi copie d'un courrier qu'il avait adressé au Dr O___________ du Service d'orthopédie des HUG le 13 août 2008, aux termes duquel il avait constaté que "d'importantes douleurs résiduelles sont présentes en rétro-malléolaire externe sur le trajet des tendons péroniers et aussi dans le tiers distal de la jambe sur le trajet du nerf péronier superficiel. Depuis l'accident, il peine à contrôler son arrière-pied droit qui part spontanément en valgus lâché. La cicatrice est calme, très douloureuse au passage du nerf péronier superficiel, il y a des douleurs également à la palpation des tendons péroniers, mais ceux-ci sont parfaitement stables. Lors de la marche, on observe de manière caricaturale un lâchage en valgus de tout l'arrière-pied incontrôlable. En revanche, lorsque le patient se tient au mur, il est capable, en monopodal, après quelques minutes, de recambrer tout doucement son pied pour l'amener en position physiologique. On retrouve également cette capacité des inverseurs lors du test en position assise avec une bonne force du tendon tibial postérieur mais toutefois une diminution à M4 des longs fléchisseurs des orteils même si la puissance augmente un peu après quelques minutes de patience également. Comme toi je trouve cet examen clinique extrêmement étonnant. A mon avis, dans un contexte de douleurs chroniques, il s'agit d'un lâchage réflexe des inverseurs avec hyper-contraction des éverseurs, en d'autres termes un trouble de la coordination. Comme toi je suis prudent vis-à-vis d'une sanction chirurgicale visant à diminuer les douleurs latérales dans le contexte actuel."</w:t>
      </w:r>
    </w:p>
    <w:p>
      <w:r>
        <w:rPr>
          <w:b/>
        </w:rPr>
        <w:t>E. 8</w:t>
      </w:r>
    </w:p>
    <w:p>
      <w:r>
        <w:t>Le 12 janvier 2009, le Dr O___________ a indiqué que l'état de santé de l'assuré était stationnaire, qu'il y avait toutefois un changement dans les diagnostics avec une dystonie centrale depuis 2008, et que le pronostic était mauvais. Selon le médecin, les limitations fonctionnelles sont sévères et la capacité de travail nulle dans l'activité antérieure, mais une activité adaptée en position assise pourrait être envisagée. Selon le Prof. Q___________, auquel le Dr O___________ a soumis le cas, "ce patient présente un trouble postural massif du pied droit qui apparaît à la marche et lors du contact du pied avec le sol. Ce phénomène est survenu plusieurs mois après</w:t>
      </w:r>
    </w:p>
    <w:p>
      <w:r>
        <w:t>A/2628/2009 - 4/12 - une plaie de la loge antérieure d'origine traumatique dont l'évolution était favorable. L'atteinte du nerf péronier superficiel droit n'explique pas ces anomalies. En fait, je pense que le tableau est compatible avec une dystonie focale du pied droit, post- traumatique, qui se caractérise par une co-contraction anormale de certains groupes musculaires portant le pied en position extrême et soutenue. Les douleurs locorégionales semblent secondaires à ce phénomène. Sur le plan thérapeutique, je pense qu'il vaudrait la peine de présenter le cas au Professeur R___________ dans l'idée d'évaluer l'indication à des injections de toxine botulique. La légère parésie détectée au niveau de pratiquement tous les muscles testés, possiblement sur déconditionnement, pourrait constituer une contre-indication relative à ce traitement, mais ceci est encore à évaluer."</w:t>
      </w:r>
    </w:p>
    <w:p>
      <w:r>
        <w:rPr>
          <w:b/>
        </w:rPr>
        <w:t>E. 9</w:t>
      </w:r>
    </w:p>
    <w:p>
      <w:r>
        <w:t>Le 2 février 2009, le Dr M___________ a confirmé que l'état de santé était resté stationnaire, a précisé que le patient avait subi des injections de botuline pour lésions au niveau de la cheville. Les limitations fonctionnelles sont des troubles posturaux de l'avant pied droit. La capacité de travail est nulle depuis l'accident comme maçon. Le médecin n'a rien indiqué sous la rubrique d'une autre activité adaptée, étant précisé toutefois qu'il est impossible de dire si une reprise de travail est possible ou non actuellement.</w:t>
      </w:r>
    </w:p>
    <w:p>
      <w:r>
        <w:rPr>
          <w:b/>
        </w:rPr>
        <w:t>E. 10</w:t>
      </w:r>
    </w:p>
    <w:p>
      <w:r>
        <w:t>Dans une note du 17 mars 2009, le Dr P___________ a considéré que la capacité de travail dans l'activité habituelle était de 0% et dans une activité adaptée de 100%, avec les limitations fonctionnelles suivantes : activité légère, principalement assise, évitant les déplacements répétés, ce depuis mars 2008 au moins, soit au moment où le Dr L___________ avait ausculté l'assuré à la demande d'ALLIANZ SUISSE ASSURANCES, l'assureur-accident, et que depuis, rien de nouveau ne s'était produit, si ce n'est des avis de divers spécialistes qui ne modifiaient pas l'appréciation de la situation.</w:t>
      </w:r>
    </w:p>
    <w:p>
      <w:r>
        <w:rPr>
          <w:b/>
        </w:rPr>
        <w:t>E. 11</w:t>
      </w:r>
    </w:p>
    <w:p>
      <w:r>
        <w:t>L'OCAI a procédé à la comparaison des revenus afin de déterminer le degré d'invalidité. Il a retenu à titre de revenu sans invalidité celui de 60'284 fr., sur la base des documents professionnels figurant au dossier, et de revenu avec invalidité, celui de 54'203 fr., selon les salaires statistiques pour une activité adaptée à 100% résultant de l'Enquête suisse sur la structure des salaires -ESS-, ce qui donne un degré d'invalidité de 10 %.</w:t>
      </w:r>
    </w:p>
    <w:p>
      <w:r>
        <w:rPr>
          <w:b/>
        </w:rPr>
        <w:t>E. 12</w:t>
      </w:r>
    </w:p>
    <w:p>
      <w:r>
        <w:t>Le 15 mai 2009, il a transmis à l'assuré un projet de décision, aux termes duquel le degré d'invalidité de 10% était insuffisant pour justifier l'octroi de prestations AI. Il a toutefois prévu qu'une aide au placement pourrait lui être accordée afin de l'aider dans les démarches de recherches d'un emploi adapté.</w:t>
      </w:r>
    </w:p>
    <w:p>
      <w:r>
        <w:rPr>
          <w:b/>
        </w:rPr>
        <w:t>E. 13</w:t>
      </w:r>
    </w:p>
    <w:p>
      <w:r>
        <w:t>Ce projet de refus de rente a été confirmé par décision du 23 juin 2009.</w:t>
      </w:r>
    </w:p>
    <w:p>
      <w:r>
        <w:rPr>
          <w:b/>
        </w:rPr>
        <w:t>E. 14</w:t>
      </w:r>
    </w:p>
    <w:p>
      <w:r>
        <w:t>L'assuré a interjeté recours le 22 juillet 2009 contre ladite décision. Il explique qu'il est toujours en traitement médical et que les médecins envisagent de lui faire subir</w:t>
      </w:r>
    </w:p>
    <w:p>
      <w:r>
        <w:t>A/2628/2009 - 5/12 - une nouvelle intervention chirurgicale dans les mois à venir. Il souligne qu'il lui est impossible actuellement de marcher et qu'il ne peut se déplacer qu'à l'aide de béquilles. Il ajoute que des douleurs l'obligent à un traitement constant et nécessitent des changements de position réguliers. Il considère dès lors que la décision rendue par l'OCAI est prématurée et demande à ce qu'elle soit annulée.</w:t>
      </w:r>
    </w:p>
    <w:p>
      <w:r>
        <w:rPr>
          <w:b/>
        </w:rPr>
        <w:t>E. 15</w:t>
      </w:r>
    </w:p>
    <w:p>
      <w:r>
        <w:t>Dans sa réponse du 18 août 2009, l'OCAI a rappelé que dans son rapport du 27 août 2008, le Dr M___________ avait indiqué que l'assuré pouvait travailler en position assise et a conclu au rejet du recours</w:t>
      </w:r>
    </w:p>
    <w:p>
      <w:r>
        <w:rPr>
          <w:b/>
        </w:rPr>
        <w:t>E. 16</w:t>
      </w:r>
    </w:p>
    <w:p>
      <w:r>
        <w:t>Ce courrier a été transmis à l'assuré et la cause gardée à juger.</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w:t>
      </w:r>
    </w:p>
    <w:p>
      <w:r>
        <w:rPr>
          <w:b/>
        </w:rPr>
        <w:t>E. 19</w:t>
      </w:r>
    </w:p>
    <w:p>
      <w:r>
        <w:t>juin 1959 (LAI ; RS 831.20).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Le recours a été interjeté en temps utile (art. 56 ss LPGA). 4. Le litige porte sur le droit de l'assuré à des prestations AI, plus particulièrement à des mesures de réadaptation professionnelle. 5.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Il y a lieu de préciser que selon la jurisprudence, la notion d’invalidité, au sens du droit des assurances sociales, est une notion économique et non médicale; ce sont les conséquences économiques objectives de l’incapacité fonctionnelle qu’il</w:t>
      </w:r>
    </w:p>
    <w:p>
      <w:r>
        <w:t>A/2628/2009 - 6/12 -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t>A/2628/2009 - 7/12 -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ATFA non publié du 19 mars 2004, I 751/03 consid. 3.3, RAMA 1985 p. 240 consid. 4). 7.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l'espèce, il n'est pas contesté que l'assuré ne peut pas reprendre une activité de maçon. Tous les médecins ont en effet constaté que sa capacité de travail à cet égard était nulle, en raison des douleurs et de l'instabilité de la cheville. En revanche, tant le Dr O___________ le 12.01.09, et le Dr M___________ le 27 mai</w:t>
      </w:r>
    </w:p>
    <w:p>
      <w:r>
        <w:t>A/2628/2009 - 8/12 - 2008, d'une part, que le Dr P___________, d'autre part, sont d'avis qu'une activité adaptée, en position assise, est envisageable. Il est vrai que le Dr M___________, dans son rapport du 2 février 2009, a renoncé à se prononcer sur cette question, préférant indiquer qu'il ne pouvait pas dire "si une reprise de travail était possible ou non actuellement". Il y a toutefois lieu de rappeler que ce médecin a relevé, dans ce même rapport, que l'état de santé de l'assuré était stationnaire, Or, l'instabilité de la cheville, dont l'origine n'est pas clairement déterminée encore, a été constatée en mai 2008 déjà. Elle était ainsi connue au moment où le rapport du 27 mai 2008 a été établi. La survenance de cette instabilité ne change quoi qu'il en soit rien au fait que l'assuré peut travailler en position assise. Par conséquent, en l'état, une pleine capacité de travail doit être reconnue à l'assuré dans un travail adapté, en position assise. Point n'est besoin, en l'occurrence, de déterminer des métiers précis : les limitations fonctionnelles de l'assuré lui permettent d'effectuer pratiquement toutes les activités recensées par les statistiques, en particulier les activités manufacturières. Enfin, le Tribunal de céans considère, au vu de ce qui précède, qu’une mesure d’instruction complémentaire, telle qu’une expertise n’est pas nécessaire (cf. ATF 122 II 469 consid. 4a, 122 III 223 consid. 3c). 11. Reste à déterminer le degré d’invalidité de l’assuré.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w:t>
      </w:r>
    </w:p>
    <w:p>
      <w:r>
        <w:t>A/2628/2009 - 9/12 -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12. En l'espèce, l'intimé a retenu un revenu annuel sans invalidité de 60'284 fr., lequel n'est pas contesté par le recourant. Pour le revenu sans invalidité, il s'est référé aux statistiques salariales de l'Enquête suisse sur la structure des salaires pour un homme travaillant dans une activité de niveau 4 (activités simples et répétitives), soit un revenu de 54'203 fr. Le degré d'invalidité a ainsi été fixé à 10%. Force est de constater que les éléments retenus par l'OCAI ne prêtent pas flanc à la critique. 13. Il y a à ce stade lieu d'examiner la question de savoir si un abattement devrait être pris en considération.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w:t>
      </w:r>
    </w:p>
    <w:p>
      <w:r>
        <w:t>A/2628/2009 - 10/12 -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l'OCAI n'a opéré aucune réduction, dans la mesure où il a vraisemblablement estimé qu'outre ses limitations fonctionnelles, l'assuré ne présentait pas de difficultés majeures liées à l'âge, aux années de service, à la nationalité ou au taux d'occupation exigible. Le Tribunal de céans ne saurait en l'occurrence s'écarter de l'appréciation de l'OCAI, laquelle n'est pas critiquable. C'est donc à juste titre que le degré d'invalidité a été fixé à 10%. Or, ce taux n’est pas suffisant pour justifier l'octroi d' une rente d’invalidité. 14. Il y a enfin lieu de déterminer si une mesure de réadaptation professionnelle pourrait être envisagée. 15.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w:t>
      </w:r>
    </w:p>
    <w:p>
      <w:r>
        <w:t>A/2628/2009 - 11/12 -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16. Dans le cas particulier, il apparaît qu'une mesure de reclassement ne saurait être accordée dès lors que la perte de gain que subit l'assuré n'atteint pas 20%. Par ailleurs, les activités simples et répétitives qu'il est susceptible d'exercer ne requièrent pas de formation particulière si ce n'est une mise au courant pratique en entreprise, ce qui exclut l'octroi d'une mesure aussi onéreuse que le reclassement. 17. Aussi le recours ne peut-il être que rejeté. La cause est toutefois renvoyée à l'OCAI, s'agissant de l'aide au placement.</w:t>
      </w:r>
    </w:p>
    <w:p>
      <w:r>
        <w:t>A/2628/2009 - 12/12 -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