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ATAS/1372/2012 vom 15. November 2012</w:t>
      </w:r>
    </w:p>
    <w:p>
      <w:r>
        <w:t>GE Cour de justice, 2012-11-15, FR</w:t>
      </w:r>
    </w:p>
    <w:p>
      <w:r>
        <w:rPr>
          <w:b/>
        </w:rPr>
        <w:t xml:space="preserve">Quelle: </w:t>
      </w:r>
      <w:r>
        <w:t>https://mcp.opencaselaw.ch/entscheid/ge_gerichte_ATAS_1372_2012</w:t>
      </w:r>
    </w:p>
    <w:p>
      <w:r>
        <w:t>FR: GE_GERICHTE ATAS/1372/2012 du 15 novembre 2012</w:t>
      </w:r>
    </w:p>
    <w:p>
      <w:r>
        <w:t>IT: GE_GERICHTE ATAS/1372/2012 del 15 novembre 2012</w:t>
      </w:r>
    </w:p>
    <w:p>
      <w:pPr>
        <w:pStyle w:val="Heading2"/>
      </w:pPr>
      <w:r>
        <w:t>Erwägungen</w:t>
      </w:r>
    </w:p>
    <w:p>
      <w:r>
        <w:rPr>
          <w:b/>
        </w:rPr>
        <w:t>E. 1</w:t>
      </w:r>
    </w:p>
    <w:p>
      <w:r>
        <w:t>Selon l’art. 37 des conditions générales d’assurances applicables (ci-après : CGA), les tribunaux du domicile suisse des ayant droit sont notamment compétent. Jusqu’au 31 décembre 2010, ce type d’élection de for était admissible en vertu de l’art. 9 de la loi fédérale sur les fors en matière civile, du 24 mars 2000 (Loi sur les fors, LFors ; RS 272) par renvoi de l’art. 46a LCA. Ces dispositions restent applicables malgré l’entrée en vigueur, le 1er janvier 2011, du code de procédure civile du 19 décembre 2008 (CPC ; RS 272) unifiant la procédure civile, lequel abroge la LFors. En effet, la présente procédure était déjà en cours au moment de l’entrée en vigueur du CPC (art. 404 CPC). La demanderesse étant domiciliée dans le canton de Genève, les tribunaux genevois sont compétents.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Dès le 1er janvier 2011, cette compétence revient à la Chambre des assurances sociales de la Cour de justice, laquelle reprend la procédure pendante devant le</w:t>
      </w:r>
    </w:p>
    <w:p>
      <w:r>
        <w:t>A/4370/2010 - 10/18 - Tribunal cantonal des assurances sociales (art. 143 al. 6 de la LOJ du 9 octobre 2009). Sa compétence pour juger du cas d’espèce est ainsi établie.</w:t>
      </w:r>
    </w:p>
    <w:p>
      <w:r>
        <w:rPr>
          <w:b/>
        </w:rPr>
        <w:t>E. 2</w:t>
      </w:r>
    </w:p>
    <w:p>
      <w:r>
        <w:t>Selon l'art. 12 al. 2 de la loi fédérale du 18 mars 1994 sur l'assurance-maladie (LAMal; RS 832.10), les caisses-maladie ont le droit de pratiquer, en plus de l'assurance-maladie sociale, des assurances complémentaires. L'art. 12 al. 3 LAMal précise que ces assurances sont régies par la loi fédérale du 2 avril 1908 sur le contrat d'assurance (LCA; RS 221.229.1). Dans la présente affaire, il n’est pas contesté que les relations d’assurance ressortent de l’assurance complémentaire à l’assurance maladie. Par ailleurs, l’art. 2.4 des conditions générales prévoit que le contrat est notamment régit par la LCA. En conséquence, les dispositions de la LCA sont applicables.</w:t>
      </w:r>
    </w:p>
    <w:p>
      <w:r>
        <w:rPr>
          <w:b/>
        </w:rPr>
        <w:t>E. 3</w:t>
      </w:r>
    </w:p>
    <w:p>
      <w:r>
        <w:t>La loi fédérale sur la surveillance des entreprises d’assurance du 17 décembre 2004 (LSA; RS 961.01) ne contenant pas de règles spécifiques concernant les délais relatifs aux contestations de droit privé entre assurances et assurés, la demande est recevable à la forme.</w:t>
      </w:r>
    </w:p>
    <w:p>
      <w:r>
        <w:rPr>
          <w:b/>
        </w:rPr>
        <w:t>E. 4</w:t>
      </w:r>
    </w:p>
    <w:p>
      <w:r>
        <w:t>Le litige porte sur la validité de l’art. 8.5 des CGA, dont la demanderesse considère qu’il s’agit d’une clause insolite. Se pose également, cas échéant, la question de l’application de cette disposition, qui nécessite de déterminer si les affections actuelles de la demanderesses constituent une aggravation de l’affection ayant conduit à son invalidité.</w:t>
      </w:r>
    </w:p>
    <w:p>
      <w:r>
        <w:rPr>
          <w:b/>
        </w:rPr>
        <w:t>E. 5</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La LCA ne contient pas de règle d'interprétation des contrats. Comme l’art. 100 LCA renvoie au Code des obligations (loi fédérale du 30 mars 1911 complétant le code civil suisse - CO; RS 220)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w:t>
      </w:r>
    </w:p>
    <w:p>
      <w:r>
        <w:t>A/4370/2010 - 11/18 - s'il y parvient, il s'agit d'une constatation de fait qui lie en principe le Tribunal fédéral conformément à l'art. 105 LTF. Si la volonté réelle des parties ne peut pas être établie (ce qui est le cas en l'espèce)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peut examiner librement (art. 106 al. 1 LTF); cependant, pour trancher cette question, il doit se fonder sur le contenu de la manifestation de volonté et sur les circonstances, dont la constatation relève du fait (ATF 135 III 410 consid. 3.2 p. 412 s.).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 dire clairement. Conformément au principe de la confiance, c'est à l'assureur qu'il incombe de délimiter la portée de l'engagement qu'il entend prendre et le preneur n'a pas à supposer des restrictions qui ne lui ont pas été clairement présentées (ATF 133 III 675 consid. 3.3 p. 682; sous une forme résumée: ATF 135 III 410 consid. 3.2 p. 413).</w:t>
      </w:r>
    </w:p>
    <w:p>
      <w:r>
        <w:rPr>
          <w:b/>
        </w:rPr>
        <w:t>E. 6</w:t>
      </w:r>
    </w:p>
    <w:p>
      <w:r>
        <w:t>Aux termes de l'art. 33 LCA, sauf disposition contraire de la présente loi, l’assureur répond de tous les événements qui présentent le caractère du risque contre les conséquences duquel l’assurance a été conclue, à moins que le contrat n’exclue certains événements d’une manière précise, non équivoque.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Il ne s'agit pas de s'en tenir d'emblée à la solution la plus favorable à l'assuré. Il est vrai néanmoins</w:t>
      </w:r>
    </w:p>
    <w:p>
      <w:r>
        <w:t>A/4370/2010 - 12/18 - qu'une clause d'exclusion doit être interprétée "restrictivement" (ATF 118 II 342 consid. 1a; 116 II 189 consid. 2a).</w:t>
      </w:r>
    </w:p>
    <w:p>
      <w:r>
        <w:rPr>
          <w:b/>
        </w:rPr>
        <w:t>E. 7</w:t>
      </w:r>
    </w:p>
    <w:p>
      <w:r>
        <w:t>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109 II 452 consid. 5b et les réf. citées; 5C.74/2002).</w:t>
      </w:r>
    </w:p>
    <w:p>
      <w:r>
        <w:rPr>
          <w:b/>
        </w:rPr>
        <w:t>E. 8</w:t>
      </w:r>
    </w:p>
    <w:p>
      <w:r>
        <w:t>Pour les contestations relatives aux assurances complémentaires à l’assurance- 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législateur s'est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w:t>
      </w:r>
    </w:p>
    <w:p>
      <w:r>
        <w:t>A/4370/2010 - 13/18 -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 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w:t>
      </w:r>
    </w:p>
    <w:p>
      <w:r>
        <w:t>A/4370/2010 - 14/18 -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matière d'assurance indemnités journalières maladie soumise à la LCA, la Chambre des assurances sociales s'est écartée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 13 décembre 2004) ou lorsque le médecin mandaté par l'assurance n'avait pu poser de diagnostic et que ses conclusions sur la capacité de travail avaient varié au gré des courriers adressés par les médecins de l'assuré (ATAS/143/2006 du</w:t>
      </w:r>
    </w:p>
    <w:p>
      <w:r>
        <w:rPr>
          <w:b/>
        </w:rPr>
        <w:t>E. 14</w:t>
      </w:r>
    </w:p>
    <w:p>
      <w:r>
        <w:t>février 2006). 10. En l’espèce, il convient en premier lieu de déterminer si l’art. 8.5 des conditions générales constitue, comme le pense la demanderesse, une clause insolite dès lors qu’en cas d’admission de ce moyen, il n’y aurait pas lieu de se pencher sur l’application de cette disposition. La demanderesse est l’ayant droit d’un contrat d’assurance conclu notamment à son profit par son ancien employeur. Cette police d’assurance a pour objet l’assurance collective du personnel de cet ancien employeur, en indemnités journalières en cas de maladie. La police d’assurance fait expressément référence aux conditions générales d’assurance, lesquelles prévoient à l’art. 8.5 : « Les employés partiellement invalides ou handicapés qui, en raison de leur état de santé diminué, exercent uniquement une activité à temps partiel dans l’entreprise assurée, doivent être entièrement capables de travailler le jour où ils commencent le travail ou le jour où débute l’assurance pour l’occupation à temps partiel qui a</w:t>
      </w:r>
    </w:p>
    <w:p>
      <w:r>
        <w:t>A/4370/2010 - 15/18 - été convenue. Une aggravation passagère ou durable de l’affection qui a conduit à l’invalidité partielle n’est pas assurée. » Cette disposition énonce ainsi clairement qu’un employé déjà partiellement invalide au moment du début de l’assurance n’est pas couvert pour les conséquences de l’aggravation de l’affection qui a conduit à son invalidité. Il faut constater tout d’abord que cette clause n’apparaît ainsi en rien comme étrangère à l’assurance considérée puisqu’elle ne modifie pas de manière essentielle la nature du contrat ou sort du cadre légal, étant relevé que pour l’ensemble des autres affections éventuelles, la demanderesse reste couverte. De surcroît, cette clause est conforme au principe selon lequel le risque ne doit pas s’être réalisé au moment où le contrat d’assurance et conclu (BRULHART, Droit des assurances privées, 2008, no 427, p. 189) et à la jurisprudence du Tribunal fédéral selon laquelle le risque doit être considéré comme survenu lorsque la maladie s’est déclarée avant la conclusion du contrat et qu’elle présente des risques de rechute (ATF 127 III 21). Certes, cette jurisprudence a fait l’objet de critiques et il s’agit ici de régler la question d’une aggravation, plutôt que celle d’une rechute. Il n’en demeure pas moins que l’art. 8.5 CGA s’inscrit clairement dans le cadre légal du contrat, et que, de surcroît, elle correspond à un principe général du droit des assurances. Cette disposition n’est ainsi pas insolite. Elle est par ailleurs suffisamment précise et sans équivoque pour être valable. 11. Reste ainsi à l’appliquer. La demanderesse considère que ses affections actuelles sont nouvelles et ne constituent pas une aggravation de ses affections ayant conduit à l’octroi de sa demi-rente d’invalidité en 1989. L’assurance considère quant à elle qu’il s’agit d’une aggravation des affections ayant conduit à l’octroi de ladite demi-rente. Il ressort du dossier AI que la demi-rente octroyée en 1989 l’a été en raison d’un trouble du développement intellectuel dès l’enfance qui a empêché la demanderesse de suivre une scolarité normale et de faire un apprentissage, en raison de faibles capacités intellectuelles. Il s’agissait alors de troubles du développement intellectuel sans limitation physique. En 1994 encore, le Dr A__________, médecin traitant de la demanderesse attesta d’une bonne santé physique, seuls persistant les problèmes liés aux troubles du développement intellectuel.</w:t>
      </w:r>
    </w:p>
    <w:p>
      <w:r>
        <w:t>A/4370/2010 - 16/18 - Les affections actuelles concernent des troubles de la marche, avec une tendance aux chutes et à la fatigue, soit des affections physiques. Cela étant, tant le Dr A__________ que la Dresse B__________, neurologue consultée par la recourante, font état d’une pathologie neurologique dégénérative depuis plusieurs années (rapports médicaux du Dr A__________ du 4 avril 2009 et 30 mars 2009 et de la Dresse B__________ des 13 octobre 2008 et 26 octobre 2009). La Dresse B__________ fut par ailleurs entendue en audience le 8 mars 2012 et a notamment indiqué qu’elle s’était « un peu avancée » en attestant de l’absence de séquelles d’une chute accidentelle survenue à l’âge de 6 mois. Elle est également revenue sur d’autres affirmations, qui semblaient d’ailleurs contradictoires, à savoir que la maladie aurait commencé dans l’enfance et aurait un caractère probablement familial. Il est ainsi difficile de se fonder sur l’avis de ce médecin, d’autant que ce dernier a finalement déclaré ne pas être en mesure d’indiquer si les troubles actuels ont un lien ou la même origine que le retard mental. Le Dr D__________, neurologue FMH, a indiqué dans un rapport du 26 juin 2007, qui n’est pas remis en cause par la Dresse B__________ ou le Dr A__________, que l’examen neurologique montrait essentiellement un réflexe cutané plantaire et une démarche dandinante vraisemblablement séquellaire du problème cérébral survenu à l’âge de 6 mois. Dans ces conditions, la Chambre des assurances sociales considère que l’avis du Dr C__________, médecin conseil de l’assureur, du 19 mars 2012, doit être suivi. En effet, ce médecin discute l’ensemble des éléments à disposition de manière convaincante et considère que différents signes parlent en faveur du fait que les atteintes physiques correspondent à l’atteinte centrale due à la débilité dans le contexte d’une maladie neurodégénérative qui s’est lentement péjorée avec pour conséquence une décompensation physique avec péjoration des troubles locomoteurs. Ce médecin précise qu’il s’agit donc une seule affection. La Chambre des assurances sociales a ainsi acquis la conviction que l’affection actuelle d’ordre physique constitue bel et bien une aggravation de l’état de santé, se situant certes au moment de l’octroi de la rente invalidité uniquement sur le plan intellectuel, présent depuis 1989 à tout le moins. Il s’en suit qu’il n’y a pas lieu de donner suite à la demande d’audition du Dr A__________, ni à la demande visant à la mise sur pied d’une expertise. Il s’en suit également, conformément à l’art. 8.5 des conditions générales d’assurance, que l’incapacité complète de travail dès le 21 novembre 2008 n’est pas couverte.</w:t>
      </w:r>
    </w:p>
    <w:p>
      <w:r>
        <w:t>A/4370/2010 - 17/18 - C’est donc à bon droit que l’assureur a refusé ses prestations et la demande est mal fondée. 12. La demande sera ainsi rejetée. Pour le surplus, la procédure est gratuite (art. 89 H al.1 LPA).</w:t>
      </w:r>
    </w:p>
    <w:p>
      <w:r>
        <w:t>A/4370/2010 - 18/18 -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