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ATAS/1371/2009 vom 21. August 2008</w:t>
      </w:r>
    </w:p>
    <w:p>
      <w:r>
        <w:t>GE Cour de justice, 2008-08-21, FR</w:t>
      </w:r>
    </w:p>
    <w:p>
      <w:r>
        <w:rPr>
          <w:b/>
        </w:rPr>
        <w:t xml:space="preserve">Quelle: </w:t>
      </w:r>
      <w:r>
        <w:t>https://mcp.opencaselaw.ch/entscheid/ge_gerichte_ATAS_1371_2009</w:t>
      </w:r>
    </w:p>
    <w:p>
      <w:r>
        <w:t>FR: GE_GERICHTE ATAS/1371/2009 du 21 août 2008</w:t>
      </w:r>
    </w:p>
    <w:p>
      <w:r>
        <w:t>IT: GE_GERICHTE ATAS/1371/2009 del 21 agosto 2008</w:t>
      </w:r>
    </w:p>
    <w:p>
      <w:pPr>
        <w:pStyle w:val="Heading2"/>
      </w:pPr>
      <w:r>
        <w:t>Erwägungen</w:t>
      </w:r>
    </w:p>
    <w:p>
      <w:r>
        <w:rPr>
          <w:b/>
        </w:rPr>
        <w:t>E. 1</w:t>
      </w:r>
    </w:p>
    <w:p>
      <w:r>
        <w:t>En vertu de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Selon l'art. 73 al.3 de la loi fédérale sur la prévoyance professionnelle vieillesse, survivants et invalidité, du 25 juin 1982 (LPP ; RS 831.40), le for est au siège ou au domicile suisse du défendeur ou au lieu de l'exploitation dans lequel l'assuré a été engagé. En l'espèce, le demandeur était engagé dans une entreprise à Genève. Par conséquent, la compétence du Tribunal de céans est donnée tant ratione materiae que ratione loci.</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compétent au sens de l'art. 73 LPP, doit, après que l'affaire lui a été transmise (art. 142 CC), exécuter d'office le partage sur la base de la clé de répartition déterminée par le juge du divorce.</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En l'occurrence, se pose tout d'abord la question de l'exequatur du jugement de divorce, lequel a été rendu par un juge américain. a) S'agissant de la reconnaissance des jugements de divorce étrangers, il convient de se référer à la loi fédérale sur le droit international privé du 18 mars 1987 (LDIP). Selon l'art. 25 LDIP, une décision étrangère est reconnue en Suisse :</w:t>
      </w:r>
    </w:p>
    <w:p>
      <w:r>
        <w:t>A/2888/2009 4/6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21 août 2008 par la Cour du 13ème district judiciaire, comté de Hillsborough en Floride, division du droit de la famille. Le Tribunal fédéral des assurances (TFA) a à cet égard confirmé qu'en</w:t>
      </w:r>
    </w:p>
    <w:p>
      <w:r>
        <w:t>A/2888/2009 5/6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5</w:t>
      </w:r>
    </w:p>
    <w:p>
      <w:r>
        <w:t>En l’espèce, le juge américain a ordonné le partage selon la convention conclue par les ex-époux, qui prévoit le partage par moitié des avoirs de prévoyance du demandeur. Le juge américain a dès lors appliqué la règle ordinaire de partage, lorsque seulement l'un des époux est au bénéfice d'un avoir de prévoyance professionnelle accumulée pendant le mariage. La convention conclue par les époux et ratifiée par le juge américain est conforme au droit suisse et n'a pas non plus besoin d'être complétée (art. 64 LDIP). Qui plus est, aucun des demandeurs ne s'oppose à la reconnaissance du jugement américain. Par conséquent, il y a lieu de reconnaître le jugement de divorce et d'exécuter le partage ordonné par le juge américain.</w:t>
      </w:r>
    </w:p>
    <w:p>
      <w:r>
        <w:rPr>
          <w:b/>
        </w:rPr>
        <w:t>E. 6</w:t>
      </w:r>
    </w:p>
    <w:p>
      <w:r>
        <w:t>En l'occurrence, les ex-époux ont convenu de partager par moitié l'avoir de prévoyance du demandeur, de sorte que chacun d'eux reçoive la somme de USD 159'946. Toutefois, l'avoir de vieillesse étant stipulé en CHF, cette somme doit être convertie en cette monnaie. Dès lors que le jugement de divorce est daté du 21 août 2008, il y aurait lieu en principe de prendre cette date pour la conversion des prestations déterminantes en CHF. Cependant, les ex-époux sont d'accord que cette somme soit calculée à la contre-valeur au jour du transfert. Partant, il convient de statuer conformément à leurs conclusions d'accord.</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A/2888/2009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