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ATAS/136/2026 vom 18. Februar 2026</w:t>
      </w:r>
    </w:p>
    <w:p>
      <w:r>
        <w:t>GE Cour de justice, 2026-02-18, FR</w:t>
      </w:r>
    </w:p>
    <w:p>
      <w:r>
        <w:rPr>
          <w:b/>
        </w:rPr>
        <w:t xml:space="preserve">Quelle: </w:t>
      </w:r>
      <w:r>
        <w:t>https://mcp.opencaselaw.ch/entscheid/ge_gerichte_ATAS_136_2026</w:t>
      </w:r>
    </w:p>
    <w:p>
      <w:r>
        <w:t>FR: GE_GERICHTE ATAS/136/2026 du 18 février 2026</w:t>
      </w:r>
    </w:p>
    <w:p>
      <w:r>
        <w:t>IT: GE_GERICHTE ATAS/136/2026 del 18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A/3982/2024 - 11/22 -</w:t>
      </w:r>
    </w:p>
    <w:p>
      <w:r>
        <w:rPr>
          <w:b/>
        </w:rPr>
        <w:t>E. 1.3</w:t>
      </w:r>
    </w:p>
    <w:p>
      <w:r>
        <w:t>Le 1er janvier 2022, sont entrées en vigueur les modifications de la LAI du 19 juin 2020 (développement continu de l’AI ; RO 2021 705) ainsi que celles du</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un éventuel droit à une rente d’invalidité qui naitrait postérieurement au 31 décembre 2021, la demande de prestations ayant été déposée le 16 mars 2023, de sorte que les dispositions légales applicables seront citées dans leur nouvelle teneur. 2.</w:t>
      </w:r>
    </w:p>
    <w:p>
      <w:r>
        <w:t>2.1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2.2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w:t>
      </w:r>
    </w:p>
    <w:p>
      <w:r>
        <w:t>A/3982/2024 - 12/22 - 281 consid. 2.1.1, 2.1.2, 2.2 et 2.2.2 ; arrêt du Tribunal fédéral 9C_618/2019 du 16 mars 2020 consid. 8.1.1). 2.3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 2.4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w:t>
      </w:r>
    </w:p>
    <w:p>
      <w:r>
        <w:t>A/3982/2024 - 13/22 -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2.5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2.6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2.7 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10e révision (CIM-10), le psychiatre peut préciser le diagnostic de trouble de l'adaptation au moyen de sept subdivisions, avec l'ajout d'un quatrième</w:t>
      </w:r>
    </w:p>
    <w:p>
      <w:r>
        <w:t>A/3982/2024 - 14/22 -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 rente de l'assurance-invalidité (arrêt du Tribunal fédéral 9C_408/2023 du 23 avril 2024 consid. 5.2 et les références).</w:t>
      </w:r>
    </w:p>
    <w:p>
      <w:r>
        <w:rPr>
          <w:b/>
        </w:rPr>
        <w:t>E. 3.1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w:t>
      </w:r>
    </w:p>
    <w:p>
      <w:r>
        <w:rPr>
          <w:b/>
        </w:rPr>
        <w:t>E. 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w:t>
      </w:r>
    </w:p>
    <w:p>
      <w:r>
        <w:t>A/3982/2024 - 15/22 -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A/3982/2024 - 16/22 -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3.3.2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w:t>
      </w:r>
    </w:p>
    <w:p>
      <w:r>
        <w:t>A/3982/2024 - 17/22 - 4.4.1.3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4. En l’occurrence, l’intimé s’est fondé sur l’expertise bidisciplinaire du BEM du 2 novembre 2023 pour retenir une capacité de travail du recourant de 80% (100% avec une diminution de rendement de 20%) depuis 2016 (limitations fonctionnelles somatiques). 4.1 S’agissant de l’aspect somatique, fondé sur toutes les pièces du dossier, comprenant une anamnèse, la description d’une journée-type, un examen clinique, un examen sanguin, les plaintes du recourant, posant des diagnostics et limitations fonctionnelles clairs et opérant une analyse convaincante de la capacité de travail, le rapport d’expertise de médecine interne du Dr G______, du 2 novembre 2023, répond aux réquisits jurisprudentiels précités pour qu’il lui soit reconnu une pleine valeur probante. 4.1.1 Le recourant conteste l’expertise précitée et invoque des troubles sévères. Il fait valoir le rapport du Dr P______ du 5 juillet 2021, le rapport neurologique du Dr K______ du 12 décembre 2024, ainsi que le rapport médical de la Dre B______ du 20 décembre 2024. À cet égard, ces rapports sont insuffisants pour mettre en doute l’expertise de médecine interne. Le Dr K______ a attesté d’une polyneuropathie sensitive axonale longueur dépendante aux membres inférieurs, probablement d’origine diabétique. Or, l’expert G______ a retenu un diagnostic de polyneuropathie des membres inférieurs, avec incidence sur la capacité de travail du recourant, de sorte que cette pathologie a bien été prise en compte dans l’évaluation de la capacité de travail du recourant (rapport d’expertise, p. 18), étant au surplus relevé que le Dr K______ ne se prononce pas sur le caractère incapacitant de cette pathologie. Le Dr P______ fait état d’une cure de hernie inguinale à droite en 2016, suivie d’un syndrome douloureux de nature neuropathique. Or, d’une part, l’expert G______ a pris en compte cette intervention et ses suites, en mentionnant des douleurs du flanc droit, de l’aine droite et du membre inférieur droit (rapport d’expertise, p. 11), d’autre part, le Dr P______ n’atteste d’aucune incapacité de travail en lien avec cette affection. Au surplus, le rapport de consultation ambulatoire initiale (chirurgie générale) des HUG du 9 avril 2021 relève que la possible irritation du nerf crural droit dans la région inguinale n’explique pas l’importance des douleurs lombaires droites irradiant jusqu’en paracervical droit, qui pourraient provoquer un syndrome douloureux chronique, de sorte que l’ensemble des douleurs n’est pas objectivé.</w:t>
      </w:r>
    </w:p>
    <w:p>
      <w:r>
        <w:t>A/3982/2024 - 18/22 - Enfin, le rapport médical de la Dre B______ du 20 décembre 2024, attestant principalement de multiples douleurs chez le recourant, est insuffisant pour mettre en doute l’évaluation médicale de l’expert G______, sur laquelle elle ne s’est pas prononcée. 4.1.2 Au demeurant, les conclusions du rapport d’expertise de médecine interne du BEM peuvent être suivies, de sorte que le recourant dispose, du point de vue somatique, d’une capacité de travail de 80% dans une activité respectant ses limitations fonctionnelles (travaux non physiques de nature administrative, avec une éviction de port de charges de plus de 10 kg, de port de charges sur des distances prolongées ou de façon répétée, une éviction de la station debout prolongée et une éviction de travaux à risque sur des échelles ou à risque de chute). 4.2 S’agissant de l’aspect psychiatrique, le Dr H______ a retenu une dysthymie non incapacitante présente depuis novembre 2020. 4.2.1 Le recourant conteste ce rapport d’expertise et a communiqué un rapport d’expertise privée du Dr N______ du 29 avril 2025, concluant à un diagnostic de trouble dépressif récurrent moyen avec syndrome somatique depuis septembre 2022 et à une capacité de travail de 50% depuis septembre 2022. 4.2.2 À la demande de la chambre de céans, le Dr N______ a rendu un complément d’expertise le 25 juin 2025, critiquant les avis du SMR et de l’OAI du 16 juin 2025, lesquels estimaient que l’expertise du Dr N______ n’emportait pas la conviction et confirmait son diagnostic et son évaluation de la capacité de travail du recourant. Quant au psychiatre traitant, il relève que l’incapacité de travail est totale pour un diagnostic de trouble dépressif de moyen à sévère (rapport du 20 décembre 2024). Par ailleurs, la Clinique J______ a posé le diagnostic, en juillet 2024, de trouble dépressif récurrent, épisode actuel sévère sans symptômes psychotiques (lettre de sortie du 6 septembre 2024). Enfin, la chambre de céans a ordonné un examen neuropsychologique auprès de Q______, laquelle a rendu un rapport le 8 décembre 2025, concluant à un trouble neuropsychologique de sévérité moyenne, incapacitant à hauteur de 50% à 70%, avec toutefois une validité des performances partielle. Au demeurant, le rapport d’expertise du Dr H______ est sérieusement contesté par les avis du Dr N______, les diagnostics posés par la Clinique J______ lors des hospitalisations de décembre 2022 et juillet 2024, l’avis du psychiatre traitant (rapport du 20 décembre 2024) et le rapport d’examen neuropsychologique de Q______. 4.2.3 Au vu de ces avis contradictoires, il apparait nécessaire de compléter l’instruction médicale psychiatrique par le biais d’une expertise judiciaire, laquelle sera confiée au Dr R______.</w:t>
      </w:r>
    </w:p>
    <w:p>
      <w:r>
        <w:t>A/3982/2024 - 19/22 - PAR CES MOTIFS, LA CHAMBRE DES ASSURANCES SOCIALES : Statuant préparatoirement I. Ordonne une expertise psychiatrique de A______. Commet à ces fins le Dr R______, chemin S______, T______. Dit que la mission d’expertise sera la suivante : A. Prendre connaissance du dossier de la cause, dont le rapport d’examen neuropsychologique de Q______ du 8 décembre 2025. B. Si nécessaire, prendre tous renseignements auprès des médecins ayant traité la personne expertisée, en particulier la Dre F______.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 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A/3982/2024 - 20/22 - 4.5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4.6 Dans l’affirmative, considérez-vous que cela suffise à exclure une atteinte à la santé significative ? 5. Limitations fonctionnelles 5.1. Indiquer les limitations fonctionnelles en relation avec chaque diagnostic 5.1.1 Dates d'apparition 5.2 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A/3982/2024 - 21/22 -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t>A/3982/2024 - 22/22 -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l'expertise du Dr H______ du 2 novembre 2023 ? En particulier avec les diagnostics posés, les limitations fonctionnelles constatées et l'estimation d'une capacité de travail totale ? Si non, pourquoi ?</w:t>
      </w:r>
    </w:p>
    <w:p>
      <w:r>
        <w:rPr>
          <w:b/>
        </w:rPr>
        <w:t>E. 11.2</w:t>
      </w:r>
    </w:p>
    <w:p>
      <w:r>
        <w:t>Êtes-vous d’accord avec l’expertise du Dr N______ du 29 avril 2025 ? En particulier avec les diagnostics posés, les limitations fonctionnelles constatées et l’estimation d’une capacité de travail de 50% depuis septembre 2022 ? Si non, pourquoi ?</w:t>
      </w:r>
    </w:p>
    <w:p>
      <w:r>
        <w:rPr>
          <w:b/>
        </w:rPr>
        <w:t>E. 11.3</w:t>
      </w:r>
    </w:p>
    <w:p>
      <w:r>
        <w:t>Êtes-vous d’accord avec l’avis de la Dre F______ du 8 juin 2023 ? En particulier avec les diagnostics posés et l’estimation d’une capacité de travail nulle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