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ATAS/136/2019 vom 19. Februar 2019</w:t>
      </w:r>
    </w:p>
    <w:p>
      <w:r>
        <w:t>GE Cour de justice, 2019-02-19, FR</w:t>
      </w:r>
    </w:p>
    <w:p>
      <w:r>
        <w:rPr>
          <w:b/>
        </w:rPr>
        <w:t xml:space="preserve">Quelle: </w:t>
      </w:r>
      <w:r>
        <w:t>https://mcp.opencaselaw.ch/entscheid/ge_gerichte_ATAS_136_2019</w:t>
      </w:r>
    </w:p>
    <w:p>
      <w:r>
        <w:t>FR: GE_GERICHTE ATAS/136/2019 du 19 février 2019</w:t>
      </w:r>
    </w:p>
    <w:p>
      <w:r>
        <w:t>IT: GE_GERICHTE ATAS/136/2019 del 19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 à une rente d’invalidité au-delà du 28 février 2015.</w:t>
      </w:r>
    </w:p>
    <w:p>
      <w:r>
        <w:rPr>
          <w:b/>
        </w:rPr>
        <w:t>E. 4</w:t>
      </w:r>
    </w:p>
    <w:p>
      <w:r>
        <w:t>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w:t>
      </w:r>
    </w:p>
    <w:p>
      <w:r>
        <w:t>A/1449/2018 - 7/17 -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w:t>
      </w:r>
    </w:p>
    <w:p>
      <w:r>
        <w:t>A/1449/2018 - 8/17 -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A/1449/2018 - 9/17 -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A/1449/2018 - 10/17 -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A/1449/2018 - 11/17 -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9</w:t>
      </w:r>
    </w:p>
    <w:p>
      <w:r>
        <w:t>Il convient en l’espèce de rappeler que par arrêt du 12 septembre 2016, la chambre de céans a considéré que les rapports des Drs C______, B______ et D______ ne lui permettaient pas de tirer des conclusions quant à la capacité de travail de l’assuré, de sorte qu’elle a renvoyé la cause à l’OAI pour instruction complémentaire. L’OAI a ainsi mandaté le Dr E______ pour expertise et s’est fondé sur le rapport d’expertise de celui-ci établi le 13 juin 2017, et sur les avis du SMR, pour reconnaître le droit de l’assuré à une rente d’invalidité limitée au 28 février 2015.</w:t>
      </w:r>
    </w:p>
    <w:p>
      <w:r>
        <w:rPr>
          <w:b/>
        </w:rPr>
        <w:t>E. 10</w:t>
      </w:r>
    </w:p>
    <w:p>
      <w:r>
        <w:t>Il s’agit dès lors de déterminer si ce rapport a valeur probante. La chambre de céans observe que le Dr E______ a analysé de manière circonstanciée les données anamnestiques, qu’il a décrit le contexte médical avec précision et que ses conclusions sont motivées de manière convaincante. Ce médecin a en outre procédé à un examen approfondi de l’assuré, dont il a pris en considération les plaintes. Son rapport ne contient pas de contradictions et le dossier ne fait état d’aucun élément apte à mettre en doute la pertinence des déductions de l’expert. Partant, le rapport du Dr E______ remplit toutes les exigences posées par la jurisprudence pour se voir reconnaître une pleine valeur probante. Selon le Dr E______, la capacité de travail de l’assuré a évolué comme suit : 100% du 27 février 2015 au 31 décembre 2016, 0% en janvier et février 2017,</w:t>
      </w:r>
    </w:p>
    <w:p>
      <w:r>
        <w:t>A/1449/2018 - 12/17 - et 100% dès mars 2017, dans l’activité habituelle.</w:t>
      </w:r>
    </w:p>
    <w:p>
      <w:r>
        <w:rPr>
          <w:b/>
        </w:rPr>
        <w:t>E. 11</w:t>
      </w:r>
    </w:p>
    <w:p>
      <w:r>
        <w:t>L’assuré a indiqué qu’il souffre toujours de maux de dos qui l’empêchent d’exercer une activité à plein temps. Il se dit d’accord avec les taux retenus dans le projet de décision jusqu’au 25 février 2015, mais fait valoir que ses incapacités de travail sont ensuite les suivantes : 45% du 26 février au 30 septembre 2015, 40% du 1er octobre 2015 au 7 janvier 2016, 100% du 8 janvier 2016 au 26 février 2017, 80% du 27 février au 9 avril 2017, 40% dès le 10 avril 2017. Il conteste dès lors les conclusions du Dr E______ quant aux taux de capacité de travail retenus après février 2015. Il est vrai que selon la Dresse B______, l’incapacité de travail est de 40% du 1er octobre 2015 au 31 décembre 2017. Force est toutefois de constater qu’elle atteste ce taux dans deux simples certificats datés des 22 décembre 2016 et 11 décembre 2017, sans aucune autre indication. On ne peut dès lors en tenir compte. Ils ne sont pas suffisants pour mettre en doute les conclusions de l’expert, ce d’autant moins que la Dresse B______ n’est pas spécialiste en orthopédie. Il convient en conséquence de confirmer les taux de capacité de travail sur lesquels s’est fondé l’OAI dans sa décision sur opposition, sur la base de l’expertise, soit 100% du 27 février 2015 au 31 décembre 2016, 0% en janvier et février 2017 et 100% dès mars 2017.</w:t>
      </w:r>
    </w:p>
    <w:p>
      <w:r>
        <w:rPr>
          <w:b/>
        </w:rPr>
        <w:t>E. 12</w:t>
      </w:r>
    </w:p>
    <w:p>
      <w:r>
        <w:t>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A/1449/2018 - 13/17 -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op. cit., consid. 3.5 in fine).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w:t>
      </w:r>
    </w:p>
    <w:p>
      <w:r>
        <w:t>A/1449/2018 - 14/17 -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w:t>
      </w:r>
    </w:p>
    <w:p>
      <w:r>
        <w:t>A/1449/2018 - 15/17 -</w:t>
      </w:r>
    </w:p>
    <w:p>
      <w:r>
        <w:rPr>
          <w:b/>
        </w:rPr>
        <w:t>E. 13</w:t>
      </w:r>
    </w:p>
    <w:p>
      <w:r>
        <w:t>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w:t>
      </w:r>
    </w:p>
    <w:p>
      <w:r>
        <w:rPr>
          <w:b/>
        </w:rPr>
        <w:t>E. 14</w:t>
      </w:r>
    </w:p>
    <w:p>
      <w:r>
        <w:t>En l’espèce, il y a lieu de constater que le degré d’invalidité ne peut être déterminé sur la base des comptes de l’assuré. Celui-ci a en effet travaillé à des taux variables selon les années depuis son accident, alors que le compte de pertes et profits présente un descriptif des charges et des produits de son entreprise sur une année entière, et que des facteurs étrangers à l’invalidité comme la crise du marché dans le domaine de la bijouterie-joaillerie 2015-2016 viennent fausser les résultats. Or, selon la jurisprudence,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Aussi convient-il de confirmer le calcul effectué par l’OAI sur la base des taux de capacité de travail retenus, et selon le rapport d’enquête pour activité</w:t>
      </w:r>
    </w:p>
    <w:p>
      <w:r>
        <w:t>A/1449/2018 - 16/17 - professionnelle indépendante établi le 25 septembre 2017, étant rappelé que dans l’hypothèse où un assuré présente une entière capacité de travail quelle que soit l’activité lucrative envisagée ou lorsque les revenus avec et sans invalidité sont basés sur la même tabelle statistique, les revenus avant et après l’invalidité sont calculés sur la même base. Il est dès lors superflu de les chiffrer avec exactitude. En pareil cas, le degré d’invalidité se confond avec celui de l'incapacité de travail.</w:t>
      </w:r>
    </w:p>
    <w:p>
      <w:r>
        <w:rPr>
          <w:b/>
        </w:rPr>
        <w:t>E. 15</w:t>
      </w:r>
    </w:p>
    <w:p>
      <w:r>
        <w:t>Au vu de ce qui précède, le recours sera rejeté.</w:t>
      </w:r>
    </w:p>
    <w:p>
      <w:r>
        <w:t>A/1449/2018 - 17/17 -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