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ATAS/136/2016 vom 22. Februar 2016</w:t>
      </w:r>
    </w:p>
    <w:p>
      <w:r>
        <w:t>GE Cour de justice, 2016-02-22, FR</w:t>
      </w:r>
    </w:p>
    <w:p>
      <w:r>
        <w:rPr>
          <w:b/>
        </w:rPr>
        <w:t xml:space="preserve">Quelle: </w:t>
      </w:r>
      <w:r>
        <w:t>https://mcp.opencaselaw.ch/entscheid/ge_gerichte_ATAS_136_2016</w:t>
      </w:r>
    </w:p>
    <w:p>
      <w:r>
        <w:t>FR: GE_GERICHTE ATAS/136/2016 du 22 février 2016</w:t>
      </w:r>
    </w:p>
    <w:p>
      <w:r>
        <w:t>IT: GE_GERICHTE ATAS/136/2016 del 22 febbraio 2016</w:t>
      </w:r>
    </w:p>
    <w:p>
      <w:pPr>
        <w:pStyle w:val="Heading2"/>
      </w:pPr>
      <w:r>
        <w:t>Erwägungen</w:t>
      </w:r>
    </w:p>
    <w:p>
      <w:r>
        <w:rPr>
          <w:b/>
        </w:rPr>
        <w:t>E. 26</w:t>
      </w:r>
    </w:p>
    <w:p>
      <w:r>
        <w:t>septembre 2010 (LOJ – RS/GE E 2 05) ; Que la LPGA, entrée en vigueur le 1er janvier 2003, est applicable au cas d’espèce ; Que le recours, déposé dans les formes et délai prévus par la loi est recevable (art. 56ss LPGA, art. 38 al. 3 LPGA ; art. 89B de la loi sur la procédure administrative du 12 septembre 1985 – LPA; RS/GE E 5 10) ;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 Qu’aux termes de l’art. 14 LPA, la procédure peut être suspendue lorsque son sort dépend de la solution d’une question de nature civile, pénale ou administrative pendante devant une autre autorité, jusqu’à droit connu sur ces questions. Que la suspension de la procédure peut également se justifier par des raisons d’opportunité, notamment lorsque le jugement d’un autre litige peut influencer l’issue du procès en cours (principe d’économie de la procédure) ;</w:t>
      </w:r>
    </w:p>
    <w:p>
      <w:r>
        <w:t>A/3753/2015 - 4/5 - Que sont assurées de manière obligatoire les personnes physiques qui exercent en Suisse une activité lucrative (art. 1a al. 1 let.b LAVS) ; Que les personnes affiliées à des institutions officielles étrangères d'assurance-vieillesse et survivants pour lesquelles l'assujettissement à l'assurance constituerait un cumul de charges trop lourdes seront exemptées de l'assurance obligatoire par la caisse de compensation compétente, sur présentation d'une requête (art. 1a al. 2 let b LAV et art. 3 du règlement sur l'assurance-vieillesse et survivants du 31 octobre 1947 [RAVS ; RS 831.101]) ; Que l'assujettissement à l'assurance a un caractère ex lege - automatique et obligatoire - pour toute personne remplissant l'une des conditions de l'art. 1a al. 1 LAVS et ne réalisant pas un des cas d'exemption automatique (art. 1a al. 2 let. a et c LAVS) ou sur requête (art. 1a al. 2 let. b LAVS et 3 RAVS ; arrêt du Tribunal administratif fédéral C-1578/2008 du 29 septembre 2009 consid. 4.2) ; Qu’en l’occurrence, la décision du 24 septembre 2015, antérieure à la requête d’exemption du recourant, constitue l'objet de la contestation soumis à la chambre de céans et définit la limite temporelle jusqu'à laquelle s'étend en principe l'examen juridictionnel en cas de recours ; Que faute de décision formelle quant à la requête d’exemption, la chambre de céans ne peut pas étendre le litige pour des motifs d’économie de procédure ; Que l’issue du présent litige est toutefois étroitement liée à la question de savoir si le recourant peut être exempté de l'assujettissement à l'assurance obligatoire ; Qu’au vu de ce qui précède, il convient de suspendre la présente procédure jusqu’à droit connu sur l’issue de la requête d’exemption.</w:t>
      </w:r>
    </w:p>
    <w:p>
      <w:r>
        <w:t>A/3753/2015 - 5/5 -</w:t>
      </w:r>
    </w:p>
    <w:p>
      <w:r>
        <w:t>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