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ATAS/136/2013 vom 31. Januar 2013</w:t>
      </w:r>
    </w:p>
    <w:p>
      <w:r>
        <w:t>GE Cour de justice, 2013-01-31, FR</w:t>
      </w:r>
    </w:p>
    <w:p>
      <w:r>
        <w:rPr>
          <w:b/>
        </w:rPr>
        <w:t xml:space="preserve">Quelle: </w:t>
      </w:r>
      <w:r>
        <w:t>https://mcp.opencaselaw.ch/entscheid/ge_gerichte_ATAS_136_2013</w:t>
      </w:r>
    </w:p>
    <w:p>
      <w:r>
        <w:t>FR: GE_GERICHTE ATAS/136/2013 du 31 janvier 2013</w:t>
      </w:r>
    </w:p>
    <w:p>
      <w:r>
        <w:t>IT: GE_GERICHTE ATAS/136/2013 del 31 gennaio 2013</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au Tribunal cantonal des assurances sociales par pli postal du 15 janvier 2010, le recours contre la décision de l’OAI du 3 décembre 2009 intervient en temps utile (art. 60 al. 1 LPGA), compte tenu de la suspension des délais prévue par l’art. 38 al. 4 lit. c LPGA. Les autres conditions prévues par les art. 56 et ss LPGA étant réalisées, le recours est recevable.</w:t>
      </w:r>
    </w:p>
    <w:p>
      <w:r>
        <w:rPr>
          <w:b/>
        </w:rPr>
        <w:t>E. 4</w:t>
      </w:r>
    </w:p>
    <w:p>
      <w:r>
        <w:t>Le litige porte sur la détermination du taux d’invalidité du recourant, spécifiquement sur sa capacité de gain et sur différents éléments du calcul d’invalidité (notamment la prise en compte de l’activité de guérisseur et le taux d’abattement sur les données statistiques).</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w:t>
      </w:r>
    </w:p>
    <w:p>
      <w:r>
        <w:t>A/135/2010 - 16/26 -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w:t>
      </w:r>
    </w:p>
    <w:p>
      <w:r>
        <w:t>A/135/2010 - 17/26 -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Selon l'art. 28 al. 1 LAI,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(ATF 132 V 65). Il en va d’ailleurs de même pour l’ensemble des syndromes douloureux qui ne s’expliquent pas par un déficit organique ou fonctionnel, y compris lorsque l’assuré a été victime d’un accident du type d’une distorsion cervicale (ATF 136 V 279). Ces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w:t>
      </w:r>
    </w:p>
    <w:p>
      <w:r>
        <w:t>A/135/2010 - 18/26 - de travail du simple diagnostic posé, dès lors que celui-ci ne renseigne pas encore sur l’intensité des douleurs ressenties par la personne concernée, ni sur leur évolution ou sur le pronostic qu’on peut poser dans un cas concret. Aussi convient- 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DILLING/MOMBOUR/L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w:t>
      </w:r>
    </w:p>
    <w:p>
      <w:r>
        <w:rPr>
          <w:b/>
        </w:rPr>
        <w:t>E. 7</w:t>
      </w:r>
    </w:p>
    <w:p>
      <w:r>
        <w:t>En vertu du principe de la libre appréciation des preuves, le juge apprécie librement les preuves médicales qu'il a recueillies, sans être lié par des règles formelles, en</w:t>
      </w:r>
    </w:p>
    <w:p>
      <w:r>
        <w:t>A/135/2010 - 19/26 -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spécifiquement des avis du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w:t>
      </w:r>
    </w:p>
    <w:p>
      <w:r>
        <w:rPr>
          <w:b/>
        </w:rPr>
        <w:t>E. 8</w:t>
      </w:r>
    </w:p>
    <w:p>
      <w:r>
        <w:t>En l’espèce, la Chambre des assurances sociales retiendra l’avis des experts G_________ et H_________, puisqu’il s’agit d’une expertise judiciaire dont le Juge ne peut s’écarter, comme on l’a vu plus haut, qu’à des conditions restrictives non réalisées en l’espèce. Or, ces médecins attestent d’une incapacité de travail complète dans l’activité habituelle de carrossier et d’une capacité de 75% accompagnée d’une diminution de rendement de 25% dans une activité adaptée telle que de la manutention ou du conditionnement léger ou une activité de surveillance.</w:t>
      </w:r>
    </w:p>
    <w:p>
      <w:r>
        <w:t>A/135/2010 - 20/26 - A ce sujet, il faut relever que si cet avis s’écarte notablement de l’avis des médecins traitants, qui comme on l’a vu, sont selon la jurisprudence plus enclins, en cas de doute, à prendre parti pour leur patient, ils se rapprochent de l’avis du CEMed du 28 août 2009, en tous les cas s’agissant de l’appréciation de la capacité de travail. Certes, la Chambre des assurances sociales a nourri quelques doutes quant à la valeur probante des avis du CEMed, suite à l’audition de Monsieur B_________ du 25 novembre 2010 et compte tenu des explications que ce témoin a fournies s’agissant de la manière dont l’expertise pluridisciplinaire a été rédigée. C’est d’ailleurs ces doutes qui l’ont conduite à ordonner une expertise bi-disciplinaire. Il n’en demeure pas moins que l’appréciation du CEMed à l’été 2009 n’est pas discréditée par le résultat de l’expertise effectuée 3 ans plus tard par les experts G_________ et H_________. La Chambre des assurances sociales retiendra notamment que le recourant conserve la faculté de surmonter sa fibromyalgie par un effort de volonté raisonnablement exigible, puisque cela est conforme à l’avis des experts. En effet, d’une part, une évaluation psychiatrique comporte une importante marge d’appréciation pour l’exercice de laquelle les impressions directes de la personne soumise à l’examen psychiatrique sont essentielles (Arrêt du Tribunal Fédéral du 22 novembre 2011 No 9C_203/2011, consid. 4.3), et d’autre part, selon la jurisprudence du Tribunal fédéral rappelée plus haut, une telle capacité est présumée, sauf à ce que certains critères, rappelés plus haut, soient réalisés. La jurisprudence n’a jamais affirmé de caractère strictement cumulatif desdits critères (Arrêt du Tribunal Fédéral du 16 novembre 2012 No 9C_667/2012, consid. 5.2). Il faut toutefois que ces critères, par leur intensité et leur constance, rendent la personne incapable de fournir l’effort de volonté nécessaire (ATF 130 V 352). Ainsi, en l’absence d’autres critères et compte tenu de l’avis des experts au sujet de la capacité du recourant à mobiliser sa capacité de travail résiduelle, il ne saurait être retenu que l’échec du traitement, qualifié de fréquent par les experts, et une certaine cristallisation de l’état psychique soient suffisants à renverser la présomption selon laquelle le recourant est capable de surmonter son affection.</w:t>
      </w:r>
    </w:p>
    <w:p>
      <w:r>
        <w:rPr>
          <w:b/>
        </w:rPr>
        <w:t>E. 9</w:t>
      </w:r>
    </w:p>
    <w:p>
      <w:r>
        <w:t>Il reste toutefois à déterminer le moment du début de l’invalidité et son évolution, étant rappelé que la demande du recourant remonte au mois d’août 2004. Les experts G_________ et surtout H_________ mentionnent une aggravation des troubles dégénératifs et des rétrécissements, laquelle a été constatée à l’IRM entre 2004 et 2011. Les experts n’ont toutefois pas été en mesure de préciser la date du début de l’incapacité de travail et son évolution. Le juge des assurances sociales fonde sa décision, sauf dispositions contraires de la loi, sur les faits qui, faute d’être établis de manière irréfutable, apparaissent comme les plus vraisemblables, c’est-à-dire qui présentent un degré de vraisemblance</w:t>
      </w:r>
    </w:p>
    <w:p>
      <w:r>
        <w:t>A/135/2010 - 21/26 -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Plusieurs avis médicaux antérieurs à l’expertise figurent au dossier. Toutefois, il ne saurait être tenu compte des avis des Drs O_________ et N_________ puisque non seulement il s’agit de médecins traitants, mais également que leur avis est trop éloigné de celui finalement retenu par les experts pour être compatible avec ce dernier. Le Dr N_________ avait en effet retenu en décembre 2008 une incapacité de travail complète dans toute activité, alors que le Dr O_________ retenait une capacité de travail de 50% dans une activité adaptée, avec une diminution de rendement de 66 ou 70% en 2008 et 2009. En 2004, il attestait d’une incapacité de travail de 50% déjà. L’appréciation de ces médecins est ainsi très largement plus favorable au recourant que l’expertise, même après l’écoulement du temps ayant provoqué une aggravation. En revanche, les avis du CEMed sont beaucoup plus compatibles avec l’avis des experts, puisque dès l’année 2006, le CEMed faisait état d’une capacité de travail de 80% dans une activité adaptée, ceci avec une diminution de rendement de 10%. Selon le rapport d’expertise du 13 octobre 2006, corrigé le 20 décembre 2006, les diagnostics avec répercussion sur la capacité de travail étaient présents depuis 2002 au moins, soit une époque correspondant à celle du premier accident de la circulation survenu le 13 septembre 2002. Par la suite, le CEMed indiqua le 28 août 2009 que même en considération de l’accident survenu en 2007, l’appréciation de la capacité de travail faite dans le cadre de l’expertise de 2006 ne différait pas. Compte tenu de ce qui précède, l’affirmation du recourant selon laquelle la symptomatologie a peu évolué et qu’il souffre des mêmes douleurs invalidantes et des mêmes limitations fonctionnelles depuis 10 ans peut-être retenue au degré de la vraisemblance prépondérante. Ainsi, il sera retenu au degré de la vraisemblance prépondérante, faute que cette question puisse être établie définitivement, que l’appréciation des experts G________ et H________ est valable depuis le premier accident du 13 septembre 2002. Au demeurant, les experts font état d’une aggravation visible sur les imageries médicales, laquelle ne suppose pas forcément une aggravation corrélative de l’incapacité de travail.</w:t>
      </w:r>
    </w:p>
    <w:p>
      <w:r>
        <w:rPr>
          <w:b/>
        </w:rPr>
        <w:t>E. 10</w:t>
      </w:r>
    </w:p>
    <w:p>
      <w:r>
        <w:t>Il convient ainsi à ce stade de calculer le degré d’invalidité du recourant.</w:t>
      </w:r>
    </w:p>
    <w:p>
      <w:r>
        <w:t>A/135/2010 - 22/26 - a) S’agissant du revenu avant invalidité, les parties s’accordent sur un montant annuel de 50'000 fr. pour l’activité de carrossier mais divergent s’agissant du revenu relatif à l’activité de « guérisseur ». S’agissant de l’activité de carrossier, l’OAI, dans son document du 30 avril 2008, explique que le recourant avait tiré de son activité indépendante des revenus variant entre 36'700 fr. et 58'400 fr. selon son compte individuel AVS entre les années 1983 et 1990 et que compte tenu de l’arrêt de travail de l’épouse du recourant dès le mois d’août 2001, celui-ci n’aurait plus été en mesure de se contenter de revenus modestes. S’agissant en revanche du revenu allégué finalement à hauteur d’au minimum 30'000 fr. par le recourant pour son activité de « guérisseur », l’OAI fait valoir qu’il n’a pas été perçu de cotisations sociales sur ces revenus et s’oppose à leur prise en compte. Selon l’art. 25 al. 1 RAI (première partie de la phrase introductive), est réputé revenu au sens de l’art. 16 LPGA le revenu annuel présumable sur lequel les cotisations seraient perçues en vertu de la LAVS. Conformément à l’art. 5 al. 2 LAVS, le salaire déterminant (sur lequel il est perçu une cotisation [al. 1]) provenant d’une activité dépendante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(Arrêt du Tribunal fédéral du 26 janvier 2009, n° 9C_699/2008, consid. 3). Il s’avère ainsi que même si le revenu correspondant à l’activité de « guérisseur » n’a pas été soumis à cotisations AVS, il aurait dû l’être si le recourant avait annoncé un tel revenu. En tout état, ce revenu devrait être pris en compte dans le revenu sans invalidité, pour peu qu’il puisse être prouvé. A cet égard, figurent au dossier différentes attestations, lesquelles font état de différentes séances pour un montant de 50 fr. par séance, sans toutefois permettre d’établir le chiffre d’affaires y relatif, les éléments fournis étant partiels, les attestations ne faisant pas toujours état du nombre de séances et limitées à certaines périodes. Il est ainsi particulièrement difficile d’en tirer des conclusions chiffrées s’agissant d’un revenu. A cela s’ajoute que l’appréciation de l’OAI selon laquelle le revenu du carrossier de 50'000 fr. tient compte du fait que le recourant ne pourrait se contenter de revenus limités compte tenu de la fin d’activité de son épouse, devrait être revue si le recourant devait avoir un revenu correspondant à l’activité de guérisseur. En définitive, pour la détermination du revenu sans invalidité d’un indépendant qui ne tient pas de comptabilité conforme aux règles de l’art, il convient, en principe,</w:t>
      </w:r>
    </w:p>
    <w:p>
      <w:r>
        <w:t>A/135/2010 - 23/26 - de se référer au salaire inscrit sur son compte individuel AVS. Celui-ci ne constitue toutefois pas une donnée invariable ou une preuve définitive ne permettant pas d’aboutir sur la base d’autres éléments à une autre présomption que celle qui a été effectivement retenue. En règle générale, les inscriptions au compte individuel doivent toutefois avoir la primauté sur les déclarations fiscales qui peuvent être influencées par des considérations autres que celles qui relèvent des assurances sociales (Michel VALTERIO, « Droit de l’assurance-vieillesse et survivants (AVS) et de l’assurance-invalidité (AI) », 2011, § 2097, p. 559). En l’espèce, il est manifeste que le recourant ne tient pas une comptabilité conforme aux règles de l’art, puisqu’il a dû reconstituer cette dernière et que son activité de « guérisseur » n’est pas déclarée. Dans ces conditions, c’est à juste titre que l’OAI s’est fondée sur les montants figurants au compte individuel AVS qu’il a modifié pour tenir compte de la fin d’activité de l’épouse du recourant. La somme de 50'000 fr. n’est au demeurant pas critiquable si l’on considère les montants inscrits au compte individuel sur les dix dernières années, dont la moyenne est de l’ordre de 10'000 fr. Le montant de 60'000 fr. pour l’année 2003 ne sera pas pris en considération, dès lors qu’il est postérieur au début de l’incapacité de travail et excessivement éloigné des revenus précédents pour qu’il puisse apparaître significatif. Ainsi, le montant de 50'000 fr. est suffisant à la fois pour tenir compte de la perte d’emploi de l’épouse du recourant et pour tenir compte de son activité de « guérisseur ». b) S’agissant du revenu d’invalide, il a été établi par l’OAI, sur la base des statistiques ressortant de l’étude ESS 2002 (tableau TA1 pour un homme, moyenne des différentes branches économiques dans une activité simple et répétitive) dont il découle un montant annuel après indexation à l’année 2003 de 57'745 fr. Ce montant doit être réduit pour tenir compte d’une capacité de travail de 75% et d’un rendement réduit de 25%. Il en découle un salaire statistique de 32'481 fr. 55. L’OAI, dans son propre calcul, a retenu un abattement de 10% sur le salaire statistique alors que le recourant plaide pour un abattement plus élevé, soit 20% ou 25%. S’agissant de l’abattement sur le salaire statistique, il a été jugé que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adoptée dans le cadre de son pouvoir d'appréciation et en respectant les principes généraux du droit, n'aurait pas été plus judicieuse</w:t>
      </w:r>
    </w:p>
    <w:p>
      <w:r>
        <w:t>A/135/2010 - 24/26 -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A ce sujet, la Chambre des assurances sociales considère que l’abattement de 10% retenu par l’OAI est insuffisant. Il faut tenir compte du fait non seulement que la capacité de travail du recourant est réduite, mais également son rendement, de sorte que la valeur sur le marché du travail, compte tenu également de son âge (60 ans) en sera notablement amoindrie, ce d’autant que selon les experts, les chances de succès de la réadaptation professionnelle sont extrêmement mauvaises. En définitive, un abattement de 20% apparaît plus approprié. Ainsi, le revenu d’invalide sera-t-il finalement fixé à 25'985 fr. 25 (32'481 fr. 55 moins 20%), ce qui détermine un taux d’invalidité de 48% donnant droit à un quart de rente.</w:t>
      </w:r>
    </w:p>
    <w:p>
      <w:r>
        <w:rPr>
          <w:b/>
        </w:rPr>
        <w:t>E. 11</w:t>
      </w:r>
    </w:p>
    <w:p>
      <w:r>
        <w:t>En vertu de l’art. 48 LAI, dans sa teneur en vigueur du 1er janvier 2003 au 31 décembre 2007, le droit à des prestations arriérées est régi par l’art. 24 al. 1er LPGA. Si l’assuré présente sa demande plus de douze mois après la naissance du droit, les prestations, en dérogation à l’art. 24 al. 1er LPGA, ne sont allouées que pour les douze mois précédant le dépôt de la demande. Comme le début de l’incapacité de travail remonte au 13 septembre 2002, le droit à la rente remonte au 13 septembre 2003 (art. 29 al.1, lit. b LAI dans sa teneur au 1er janvier 2003, au 31 décembre 2007). Comme cette date se trouve dans la période d’une année précédant le dépôt de la demande le 19 août 2004, c’est dès cette date que le recourant a droit à un quart de rente. Le recours sera ainsi partiellement admis.</w:t>
      </w:r>
    </w:p>
    <w:p>
      <w:r>
        <w:rPr>
          <w:b/>
        </w:rPr>
        <w:t>E. 12</w:t>
      </w:r>
    </w:p>
    <w:p>
      <w:r>
        <w:t>Le recourant obtenant partiellement gain de cause, une indemnité de 3'500 fr. lui est octroyée, à titre de dépens.</w:t>
      </w:r>
    </w:p>
    <w:p>
      <w:r>
        <w:t>A/135/2010 - 25/26 -</w:t>
      </w:r>
    </w:p>
    <w:p>
      <w:r>
        <w:rPr>
          <w:b/>
        </w:rPr>
        <w:t>E. 13</w:t>
      </w:r>
    </w:p>
    <w:p>
      <w:r>
        <w:t>Un émolument de 500 fr. est mis à la charge de l’OAI, qui succombe (art. 69, al.1bis LAI).</w:t>
      </w:r>
    </w:p>
    <w:p>
      <w:r>
        <w:t>A/135/2010 - 26/26 -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