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ATAS/1369/2008 vom 20. November 2008</w:t>
      </w:r>
    </w:p>
    <w:p>
      <w:r>
        <w:t>GE Cour de justice, 2008-11-20, FR</w:t>
      </w:r>
    </w:p>
    <w:p>
      <w:r>
        <w:rPr>
          <w:b/>
        </w:rPr>
        <w:t xml:space="preserve">Quelle: </w:t>
      </w:r>
      <w:r>
        <w:t>https://mcp.opencaselaw.ch/entscheid/ge_gerichte_ATAS_1369_2008</w:t>
      </w:r>
    </w:p>
    <w:p>
      <w:r>
        <w:t>FR: GE_GERICHTE ATAS/1369/2008 du 20 novembre 2008</w:t>
      </w:r>
    </w:p>
    <w:p>
      <w:r>
        <w:t>IT: GE_GERICHTE ATAS/1369/2008 del 20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décision litigieuse, du 30 janvier 2008,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loi fédérale sur la partie générale du droit des assurances sociales (LPGA) et des modifications de la LAI consécutives à la 4ème révision de cette loi, dans la mesure de leur pertinence (ATF 130 V 445 et les références; voir également ATF 130 V 329).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quel est le taux d’invalidité qu’il présente et si, cas échéant, il peut se voir octroyer des mesures d’ordre professionnel.</w:t>
      </w:r>
    </w:p>
    <w:p>
      <w:r>
        <w:t>A/556/2008 - 7/11 -</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w:t>
      </w:r>
    </w:p>
    <w:p>
      <w:r>
        <w:t>A/556/2008 - 8/11 -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Le recourant conteste l'appréciation de sa capacité de travail telle qu'elle a été faite par le SMR. Il allègue souffrir d'un état dépressif sévère et de douleurs telles qu'il ne peut exercer la moindre activité. Cependant, le rapport d'examen des médecins du SMR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que le Dr L__________ a reconnu que les douleurs de l'assuré, si elles n'ont pu être totalement annihilées, ont du moins été diminuées de 30 à 50% par les traitements entrepris qui, bien qu'ils soient lourds, sont bien tolérés par le recourant et n'engendrent pas d'effets secondaires. Le Dr L__________ évoque certes un état dépressif sévère. Ce diagnostic, qui entre en contradiction avec les constatations des médecins du SMR, n'est cependant pas étayé de manière convaincante, d'autant que le médecin traitant n'a pas jugé bon</w:t>
      </w:r>
    </w:p>
    <w:p>
      <w:r>
        <w:t>A/556/2008 - 9/11 - d'adresser son patient à un spécialiste, ce qui tend à démontrer que cet état n'est sans doute pas aussi sévère qu'il l'indique. Il y a lieu d’ajouter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comme on l’a vu ci-avant. Il suit de ce qui précède que le Tribunal n’a d’autre possibilité que de se fonder sur les conclusions du rapport d’examen du SMR et de conclure que le recourant dispose d'une capacité de travail entière dans un poste lui permettant d'alterner les positions, d'éviter le port de lourdes charges et le travail en porte-à-faux et n'impliquant pas la conduite d'un véhicule. Force est de constater que le recourant, même s'il n'a pas de formation spécifique, a en revanche une expérience professionnelle dans le domaine de la vente et comme employé de cafétéria, par exemple, professions qui répondent aux conditions énoncées supra. C'est en conséquence à juste titre que l'intimé a considéré qu'il n'y avait pas de perte de gain et donc pas d'invalidité en l'occurrence.</w:t>
      </w:r>
    </w:p>
    <w:p>
      <w:r>
        <w:rPr>
          <w:b/>
        </w:rPr>
        <w:t>E. 7</w:t>
      </w:r>
    </w:p>
    <w:p>
      <w:r>
        <w:t>Le recourant ne peut non plus se voir accorder de mesures d'ordre professionnel, notamment un reclassement, pour les motifs exposés ci-après.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 environ (ATF 124 V 110 consid. 2b et les références).</w:t>
      </w:r>
    </w:p>
    <w:p>
      <w:r>
        <w:t>A/556/2008 - 10/11 - En l'espèce, force est de constater que le recourant ne remplit pas les conditions objectives mises à l'octroi d'un reclassement (nécessité d'un changement de profession, taux d'invalidité supérieur à 20 %).</w:t>
      </w:r>
    </w:p>
    <w:p>
      <w:r>
        <w:rPr>
          <w:b/>
        </w:rPr>
        <w:t>E. 8</w:t>
      </w:r>
    </w:p>
    <w:p>
      <w:r>
        <w:t>L'émolument, fixé à 200 fr., est mis à la charge du recourant qui succombe (art. 69 al. 1 bis LAI).</w:t>
      </w:r>
    </w:p>
    <w:p>
      <w:r>
        <w:t>A/556/2008 - 11/11 -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