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ATAS/1362/2008 vom 20. November 2008</w:t>
      </w:r>
    </w:p>
    <w:p>
      <w:r>
        <w:t>GE Cour de justice, 2008-11-20, FR</w:t>
      </w:r>
    </w:p>
    <w:p>
      <w:r>
        <w:rPr>
          <w:b/>
        </w:rPr>
        <w:t xml:space="preserve">Quelle: </w:t>
      </w:r>
      <w:r>
        <w:t>https://mcp.opencaselaw.ch/entscheid/ge_gerichte_ATAS_1362_2008</w:t>
      </w:r>
    </w:p>
    <w:p>
      <w:r>
        <w:t>FR: GE_GERICHTE ATAS/1362/2008 du 20 novembre 2008</w:t>
      </w:r>
    </w:p>
    <w:p>
      <w:r>
        <w:t>IT: GE_GERICHTE ATAS/1362/2008 del 20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Le recours interjeté respectant les forme et délai prévus par la loi (art. 56 à 60 LPGA), il y a lieu de le déclarer recevable.</w:t>
      </w:r>
    </w:p>
    <w:p>
      <w:r>
        <w:rPr>
          <w:b/>
        </w:rPr>
        <w:t>E. 3</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du 30 janvier 2008 (ATF 129 V 1 consid. 1.2). Cela étant, les notions et les principes développés jusqu'alors par la jurisprudence en matière d’évaluation de l'invalidité n'ont pas été modifiés par l'entrée en vigueur de la LPGA ou de la 4ème révision de la LAI (voir ATF 130 V 343). Par ailleurs, la loi fédérale du 16 décembre 2005 modifiant la LAI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3.2</w:t>
      </w:r>
    </w:p>
    <w:p>
      <w:r>
        <w:t>et les arrêts cités; sur les motifs de révision en particulier : Urs MÜLLER, Die</w:t>
      </w:r>
    </w:p>
    <w:p>
      <w:r>
        <w:t>A/758/2008 - 12/13 - materiellen Voraussetzungen der Rentenrevision in der Invalidenversicherung, thèse Fribourg 2002, p. 133 ss).</w:t>
      </w:r>
    </w:p>
    <w:p>
      <w:r>
        <w:rPr>
          <w:b/>
        </w:rPr>
        <w:t>E. 4</w:t>
      </w:r>
    </w:p>
    <w:p>
      <w:r>
        <w:t>Est litigieuse en l'espèce la suppression de la rente entière d'invalidité versée au recourant. Singulièrement, il convient d'examiner si les conditions d'une révision du droit à la rente sont présentement remplies.</w:t>
      </w:r>
    </w:p>
    <w:p>
      <w:r>
        <w:t>A/758/2008 - 10/13 -</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b) Le principe selon lequel l'administration peut en tout temps revenir d'office sur une décision formellement passée en force qui n'a pas donné lieu à un jugement sur le fond, lorsque celle-ci est manifestement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122 V 373 consid. 2c et 390 consid. 1b). Il est à relever que la reconsidération est désormais expressément prévue à l'art. 53 LPGA.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4a7cc). Une décision est sans nul doute erronée non seulement lorsqu'elle a été prise sur la base de règles de droit non correctes ou inappropriées, mais aussi lorsque des dispositions importantes n'ont pas été appliquées ou l'ont été de manière inappropriée (DTA 1996/97 no 28 p. 158 consid. 3c). A l'inverse, une inexactitude manifeste ne saurait être admise lorsque l'octroi de la prestation dépend de conditions matérielles dont l'examen suppose un</w:t>
      </w:r>
    </w:p>
    <w:p>
      <w:r>
        <w:t>A/758/2008 - 11/13 - pouvoir d'appréciation, quant à certains de leurs aspects ou de leurs éléments, et que la décision paraît admissible compte tenu de la situation de fait et de droit de l'époque (arrêt du TFA en la cause P. du 14 août 2003 [I 790/01], consid, 3).</w:t>
      </w:r>
    </w:p>
    <w:p>
      <w:r>
        <w:rPr>
          <w:b/>
        </w:rPr>
        <w:t>E. 6</w:t>
      </w:r>
    </w:p>
    <w:p>
      <w:r>
        <w:t>a) En l'espèce, la décision initiale d'octroi de rente du 13 décembre 2001 repose sur l'avis du Dr A_____ - qui estimait son patient capable d'exercer à 50% une activité adaptée à son état de santé - et des maîtres de stage du CIP, ainsi que de la division de réadaptation de l'OCAI - qui ont émis un avis similaire à celui du médecin puisqu'ils ont conclu pour leur part à une capacité de 40% dans l'industrie légère. A l'époque, les diagnostics posés étaient ceux de canal thoracique étroit congénital, spondylarthrose généralisée avec discopathie étagée, parésie musculaires et asthme chronique. b) Au moment de la suppression de rente litigieuse, force est de constater que le tableau clinique présenté par le recourant ne diffère pas fondamentalement de celui présenté à l'époque de son octroi. Au contraire, il semble même s'être quelque peu péjoré avec la mention d'une nouvelle symptomatologie (maladie coronarienne) et une augmentation des plaintes douloureuses. c) Dans ces circonstances, il n'existe pas de modification notable de l'état de santé de l'assuré au sens de l'art. 17 LPGA et de la jurisprudence y relative citée ci-avant autorisant une révision du droit à la rente. Contrairement à ce que soutient l'intimé, le Dr A_____ n'a jamais attesté d'une amélioration de l'état de son patient, bien au contraire. S'il est vrai qu'il a conclu dans son courrier du 31 août 2007 à une capacité de travail de 50%, cette appréciation doit être replacée dans son contexte : la question à laquelle il répondait était de savoir quelle était la capacité de travail de son patient dans une activité tenant compte de ces limitations (cette expression se rapportant à la question précédente qui portait expressément sur les limitations induites par la maladie cardiaque). Le Dr A_____ avait d'ailleurs très clairement indiqué dans son rapport rédigé quelques semaines auparavant que la capacité de travail de son patient était nulle, et ceci depuis des années. Il l'a répété dans le certificat produit par le recourant devant le Tribunal de céans. En conséquence, force est de constater que seule l'appréciation médicale diffère entre le moment de l'octroi de la rente et celui de la révision. Il semble que l'OCAI, ébranlé par le courrier anonyme qui lui a été adressé et qui n'est d'ailleurs étayé par aucun fait précis, ait éprouvé des doutes - ainsi que l'a d'ailleurs clairement laissé entendre le Dr B_____ - et ait cherché à revenir sur sa première appréciation. Or, il n'y a pas matière à révision lorsque les circonstances sont demeurées inchangées et que le motif de la suppression de la rente réside uniquement dans une nouvelle appréciation du cas; un motif de révision au sens de l'art. 17 LPGA doit ressortir clairement du dossier (p. ex. arrêt du TFA P. du 31 janvier 2003 [I 559/02], consid.</w:t>
      </w:r>
    </w:p>
    <w:p>
      <w:r>
        <w:rPr>
          <w:b/>
        </w:rPr>
        <w:t>E. 7</w:t>
      </w:r>
    </w:p>
    <w:p>
      <w:r>
        <w:t>a) Un motif de révision n'entrant pas en ligne de compte dans le cas particulier, il convient d'examiner si la décision de suppression de rente peut être entérinée pour le motif substitué que la décision initiale était manifestement erronée et que sa rectification revêt une importance notable. b)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c) En l’occurrence, pour octroyer la rente, l'OCAI s'est basé sur le rapport du Dr A_____, seul médecin à s'être alors exprimé sur la capacité de travail de l'assuré. Cette évaluation a été corroborée par l'observation professionnelle à laquelle l'intéressé a été soumis et validée par la division de réadaptation de l'office. Tout comme dans le cas qui a fait l'objet de la jurisprudence mentionnée supra, on doit considérer que la décision de l'OCAI, basée sur un rapport médical clair, n'était pas manifestement erronée même s'il eut été sans doute opportun, à l'époque, de soumettre le recourant à une expertise médicale supplémentaire. Ainsi, en l’absence d’un motif de révision ou de reconsidération de la décision du 13 décembre 2001, la rente d’invalidité accordée au recourante doit être maintenue. Au vu de ce qui précède, le recours, bien fondé, sera admis. Le recourant obtenant gain de cause aura droit à des dépens (art. 61 al. 1 let. d et g LPGA).</w:t>
      </w:r>
    </w:p>
    <w:p>
      <w:r>
        <w:t>A/758/2008 - 13/13 -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