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ATAS/1361/2008 vom 20. November 2008</w:t>
      </w:r>
    </w:p>
    <w:p>
      <w:r>
        <w:t>GE Cour de justice, 2008-11-20, FR</w:t>
      </w:r>
    </w:p>
    <w:p>
      <w:r>
        <w:rPr>
          <w:b/>
        </w:rPr>
        <w:t xml:space="preserve">Quelle: </w:t>
      </w:r>
      <w:r>
        <w:t>https://mcp.opencaselaw.ch/entscheid/ge_gerichte_ATAS_1361_2008</w:t>
      </w:r>
    </w:p>
    <w:p>
      <w:r>
        <w:t>FR: GE_GERICHTE ATAS/1361/2008 du 20 novembre 2008</w:t>
      </w:r>
    </w:p>
    <w:p>
      <w:r>
        <w:t>IT: GE_GERICHTE ATAS/1361/2008 del 20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décision litigieuse, du 4 décembre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quel est le taux d’invalidité qu’il présente et si, cas échéant, il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w:t>
      </w:r>
    </w:p>
    <w:p>
      <w:r>
        <w:t>A/176/2008 - 9/16 -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w:t>
      </w:r>
    </w:p>
    <w:p>
      <w:r>
        <w:t>A/176/2008 - 10/16 -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 recourant fait grief à l'administration d'avoir fondé son appréciation de sa capacité de travail sur le rapport du Prof. Q___________ et d’avoir écarté les avis des Drs M___________, L___________ ET N___________. Il estime en effet, sans toutefois apporter d'argument particulier, que le rapport du Prof. Q___________ ne saurait se voir reconnaître pleine valeur probante dans la mesure où il contient des contradictions. Le Tribunal de céans ne saurait suivre l’argumentation du recourant pour les motifs suivants. Tout d'abord, le rapport d'examen du Prof. Q___________ se fonde sur une anamnèse détaillée, un examen clinique du recourant et tient compte des plaintes rapportées par ce dernier. Le Prof. a retenu les mêmes diagnostics que les autres médecins qui se sont prononcés – diagnostics qui ne sont au demeurant pas contestés – et est parvenu aux mêmes conclusions que le Dr O___________ quant aux limitations fonctionnelles à retenir. Ces conclusions ne sont d’ailleurs pas mises en doute par le Dr N___________, dont il convient de relever qu’il n’a jamais affirmé que l’assuré serait dans l’incapacité totale d’exercer la moindre activité. Au contraire, il semble implicitement corroborer les conclusions du Prof. Q___________ en soulignant la nécessité d’une réadaptation professionnelle et en indiquant qu’une autre profession serait possible, à condition qu'elle soit adaptée.</w:t>
      </w:r>
    </w:p>
    <w:p>
      <w:r>
        <w:t>A/176/2008 - 11/16 - Certes, la conclusion du Prof. Q___________ selon laquelle l’assuré serait capable de continuer à exercer sa profession de magasinier – laquelle a été décrite comme impliquant le déplacement de lourdes charges peut étonner. Il convient cependant de relever que le Prof. Q___________ a nuancé cette conclusion en précisant que l’activité exercée jusqu’alors était encore exigible, si elle n’impliquait pas de charges trop lourdes à soulever, ni de stations debout trop prolongées. Dans la mesure où tel est précisément le cas, il convient donc d’écarter cette éventualité. Ainsi, en définitive et en réalité, tant le Dr O___________ que le Prof. Q___________ ou encore le Dr N___________ sont d’accord pour conclure qu’il n’est pas possible à l’assuré de reprendre son activité habituelle dans la mesure où elle implique le port de charges et n'est donc pas adaptée. 22. Reste à examiner la conclusion finalement retenue par l’intimé, à savoir le fait que l’assuré est capable d’exercer à plein temps et plein rendement une activité adaptée à ses limitations. Ainsi que cela a déjà été souligné, cet avis n’est pas isolé puisqu’il est partagé par le Dr O___________. Il est vrai que le Dr L___________, dans un bref rapport du 21 novembre 2002, a conclu à une incapacité totale de travail dans la profession exercée jusqu’alors, tout comme dans une autre, en raison de la persistance des douleurs chroniques. Son avis, non étayé par ailleurs, ne saurait suffire à s’écarter de celui des spécialistes en rhumatologie. De même, le Dr M___________ a simplement conclu à une incapacité de travail de 50% de longue durée, sans motiver davantage son opinion ni indiquer en quoi consisteraient les limitations de son patient.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Or, sans doute objectivement fondé sur la valeur probante des documents médicaux déjà en possession du juge ou de l’administration, une expertise complémentaire ne peut être ordonnée pour tenter de compléter la liste des diagnostics retenus. Il en résulterait en effet un allongement de la procédure et des frais tout à fait disproportionnés et sans relation aucune avec les principes de célérité, d’économie de procédure et de proportionnalité. On retiendra donc que, sur le plan somatique, le recourant est capable d’exercer à plein une activité adaptée à son état de santé c'est-à-dire permettant d’éviter les</w:t>
      </w:r>
    </w:p>
    <w:p>
      <w:r>
        <w:t>A/176/2008 - 12/16 - travaux lourds, le port de charges de plus de 15 kilos, les mouvements répétitifs du rachis en porte-à-faux et permettant l’alternance des positions assise et debout. 23. 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rentes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A/176/2008 - 13/16 -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revenu de non invalide, que l’intimé a fixé à 63'398 fr. 40 pour l’année 2003, n’est pas contesté. Quant au revenu avec invalidité, en l’absence de reprise d’activité du recourant, il convient de se référer aux salaires statistiques tels qu’ils découlent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travail en porte-à-faux et permettant d’alterner les positions. Selon les données de l'ESS 2002, le revenu mensuel standardisé d'un homme exerçant une activité simple et répétitive s'élevait, tous domaines confondus, à 4'798 fr. par mois pour un horaire de travail de 40 h./sem., ce qui correspond, pour un horaire de travail moyen de 41,7 heures (cf. ATF 126 V 81 consid. 7a) à un salaire annuel brut, en 2003, de 60'983 fr. 35. A cet égard, l’objection du recourant qui demande que l’on se réfère à un horaire de 40 h./sem. ne saurait être retenue dans la mesure où l’intimé a l’obligation, selon la jurisprudence rappelée supra, de rectifier ce salaire mensuel au motif que les salaires bruts standards sont calculés par rapport à un horaire de travail d’une durée inférieure à la moyenne hebdomadaire dans les entreprises en 2003. Dans la mesure où l’on a retenu que le recourant était capable d’exercer à plein temps une activité adaptée à sa santé, il n’y a pas lieu de descendre en deçà de cette moyenne statistique. Reste à examiner si c’est à juste titre que l’intimé a appliqué une réduction supplémentaire de 10% seulement. A cet égard, le recourant demande que la réduction soit portée à 15, voire 20% pour tenir compte du fait qu’il est de nationalité étrangère, qu’il est âgé de cinquante-deux ans, qu’il subit des limitations importantes en raison de ses douleurs dorsales qui l’empêchent d’effectuer des travaux lourds, qu’il est obligé d’alterner les positions et de se limiter à un temps partiel. Ainsi qu’on l’a vu plus haut, l’affirmation selon laquelle le recourant ne pourrait travailler qu’à temps partiel a été réfutée. Il n’y a dès lors pas lieu d’en tenir compte ici. Reste qu’il a effectivement dépassé la cinquantaine et qu’il subit un certain nombre de limitations.</w:t>
      </w:r>
    </w:p>
    <w:p>
      <w:r>
        <w:t>A/176/2008 - 14/16 - C’est le lieu de rappeler que la réduction résulte d'une évaluation et doit être brièvement motivée. On indiquera ainsi plus particulièrement les facteurs dont il a été tenu compte dans l’appréciation globale (VSI 2000 consid. 5b/dd p. 321s). Le juge des assurances sociales ne peut, sans motifs pertinents, substituer son appréciation à celle de l'administration sans raisons valables; il doit donc pouvoir se fonder sur des éléments qui font apparaître que son appréciation différente est mieux appropriée à la situation (VSI 2000 consid. 6 p. 322; ATF 126 V 81 consid. 6). On ne saurait toutefois opérer dans ce cas une réduction de plus de 10, voire 15%. Les facteurs à prendre en considération en l’espèce ne sont en effet pas d’une importance telle qu’ils justifient l’application d’une réduction de 20%, comme le demande le recourant. Les limitations retenues ne touchent pas à la motricité fine, par exemple. Par ailleurs, le recourant est certes de nationalité étrangère mais bien intégré dans le marché du travail depuis de nombreuses années. On doit bien plutôt admettre qu’une réduction de 15% au maximum tient raisonnablement compte de sa situation. Ce faisant, le degré d’invalidité s’établit à 18,2 %, ce qui est insuffisant pour ouvrir droit à des mesures d’ordre professionnel étant rappelé que le droit au reclassement suppose que l'assuré soit invalide ou menacé d'une invalidité imminente (art. 8 al. 1 première phrase LAI) et que le seuil minimum fixé par la jurisprudence pour ouvrir droit à une mesure de reclassement est une diminution de la capacité de gain de 20 % environ (ATF 124 V 110 consid. 2b et les références). Eu égard aux considérations qui précèdent, il apparaît que le calcul du degré d’invalidité auquel s’est livré l’intimé ne prête pas le flanc à la critique. En revanche, le recourant devra se voir octroyer une aide au placement. Il convient de rappeler qu'aux termes du nouvel art. 18 al. 1 LAI,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 nouvelle teneur de l'art. 18 al. 1 LAI a été adoptée par le Conseil national - suite au retrait d'une proposition plus contraignante encore pour les offices AI - sans discussion (BO CN 2001, p. 1935). Lors du plenum du Conseil des États, le rapporteur de la Commission a recommandé d'adopter la proposition - ce qui a été le cas sans discussion - notamment en raison du fait que cette nouvelle</w:t>
      </w:r>
    </w:p>
    <w:p>
      <w:r>
        <w:t>A/176/2008 - 15/16 - disposition constituait une base juridique contraignante pour l'activité de placement des offices AI (BO CE 2002 p. 756). L'art. 18 al. 1 LAI, en vigueur depuis le 1er janvier 2004, a donc étendu les droits des assurés à l'égard des offices AI en matière d'aide au placement. Le recours est donc très partiellement admis en ce sens.</w:t>
      </w:r>
    </w:p>
    <w:p>
      <w:r>
        <w:t>A/176/2008 - 16/16 -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