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ATAS/1360/2008 vom 21. Juni 2007</w:t>
      </w:r>
    </w:p>
    <w:p>
      <w:r>
        <w:t>GE Cour de justice, 2007-06-21, FR</w:t>
      </w:r>
    </w:p>
    <w:p>
      <w:r>
        <w:rPr>
          <w:b/>
        </w:rPr>
        <w:t xml:space="preserve">Quelle: </w:t>
      </w:r>
      <w:r>
        <w:t>https://mcp.opencaselaw.ch/entscheid/ge_gerichte_ATAS_1360_2008</w:t>
      </w:r>
    </w:p>
    <w:p>
      <w:r>
        <w:t>FR: GE_GERICHTE ATAS/1360/2008 du 21 juin 2007</w:t>
      </w:r>
    </w:p>
    <w:p>
      <w:r>
        <w:t>IT: GE_GERICHTE ATAS/1360/2008 del 21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A/3418/2007 5/6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16 décembre 1976, d’autre part le 29 août 2007, date à laquelle le jugement de divorce est devenu exécutoire.</w:t>
      </w:r>
    </w:p>
    <w:p>
      <w:r>
        <w:rPr>
          <w:b/>
        </w:rPr>
        <w:t>E. 3</w:t>
      </w:r>
    </w:p>
    <w:p>
      <w:r>
        <w:t>Selon les documents produits, la prestation acquise pendant le mariage par le demandeur s'élève à 580'474 fr. 40 tandis que celle acquise par la demanderesse atteint la somme de 82'247 fr. 05, les intérêts ayant déjà été calculés par les institutions de prévoyance défenderesses. Ainsi le demandeur doit à son ex-épouse le montant de 290'237 fr. 20 (580'474.40 : 2) alors qu'elle lui doit celui de 41'123 fr. 55 (82'247.05 : 2), de sorte que c’est en définitive le demandeur qui doit à son ex-épouse le montant de 249'113 fr. 65 (290'237.20 - 41'123.55).</w:t>
      </w:r>
    </w:p>
    <w:p>
      <w:r>
        <w:rPr>
          <w:b/>
        </w:rPr>
        <w:t>E. 4</w:t>
      </w:r>
    </w:p>
    <w:p>
      <w:r>
        <w:t>Conformément à la jurisprudence, depuis le jour déterminant pour le partage jusqu'au moment du transfert de la prestation de sortie,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A/3418/2007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