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ATAS/135/2009 vom 9. Februar 2009</w:t>
      </w:r>
    </w:p>
    <w:p>
      <w:r>
        <w:t>GE Cour de justice, 2009-02-09, FR</w:t>
      </w:r>
    </w:p>
    <w:p>
      <w:r>
        <w:rPr>
          <w:b/>
        </w:rPr>
        <w:t xml:space="preserve">Quelle: </w:t>
      </w:r>
      <w:r>
        <w:t>https://mcp.opencaselaw.ch/entscheid/ge_gerichte_ATAS_135_2009</w:t>
      </w:r>
    </w:p>
    <w:p>
      <w:r>
        <w:t>FR: GE_GERICHTE ATAS/135/2009 du 9 février 2009</w:t>
      </w:r>
    </w:p>
    <w:p>
      <w:r>
        <w:t>IT: GE_GERICHTE ATAS/135/2009 del 9 febbraio 2009</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w:t>
      </w:r>
    </w:p>
    <w:p>
      <w:r>
        <w:t>A/3354/2008 - 9/14 - consid. 4b et les références). La LPGA s’applique donc au cas d’espèce. Les règles de procédure quant à elles s'appliquent sans réserve dès le jour de son entrée en vigueur (ATF 117 V 93 consid. 6b, 112 V 360 consid. 4a; RAMA 1998 KV 37 p. 316 consid. 3b).</w:t>
      </w:r>
    </w:p>
    <w:p>
      <w:r>
        <w:rPr>
          <w:b/>
        </w:rPr>
        <w:t>E. 3</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 1 LAI), en rétablissant ainsi la situation antérieure à l'introduction de la LPGA (cf. message du Conseil fédéral du 4 mai 2005). L'art. 69 al. 1 LAI, dans sa nouvelle teneur, prévoit que les décisions des Offices de l'assurance-invalidité cantonaux peuvent faire directement l'objet d'un recours devant le Tribunal des assurances du canton de l'Office qui a rendu la décision. En l'espèce, l'OCAI a communiqué à l'assuré un projet de décision en date du 11 mars 2008, qui a été confirmé par la décision du 29 août 2008, contre laquelle l'assuré a interjeté directement recours devant le Tribunal de céans le 17 septembre 2008. Interjeté dans les formes et délai prévus par la loi, devant l'autorité compétente, le recours est en conséquence recevable (art. 56 ss LPGA). b) Les modifications de la LAI du 6 octobre 2006 (5ème révision de la LAI), entrées en vigueur le 1er janvier 2008 (à l'exception de l'art. 68quater entré en vigueur rétroactivement le 1er juillet 2007), seront prises en considération selon les principes de droit intertemporel à la lumière des anciennes dispositions de la LAI pour la période s'étendant jusqu'au 31 décembre 2007 et au regard des nouvelles dispositions pour la période postérieure (ATF 130 V 445 et les références; voir également ATF 130 V 329).</w:t>
      </w:r>
    </w:p>
    <w:p>
      <w:r>
        <w:rPr>
          <w:b/>
        </w:rPr>
        <w:t>E. 4</w:t>
      </w:r>
    </w:p>
    <w:p>
      <w:r>
        <w:t>L'objet du litige porte sur le droit du recourant à des prestations de l'assurance- invalidité.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w:t>
      </w:r>
    </w:p>
    <w:p>
      <w:r>
        <w:t>A/3354/2008 - 10/14 - invalidité l’incapacité de gain totale ou partielle qui est présumée permanente ou de longue durée (art. 8 al. 1 LPGA). b) Depuis l'entrée en vigueur, le 1er janvier 2004, de la novelle du 21 mars 2003 modifiant la LAI (4ème révision), la teneur de l'art. 28 al. 1 LAI est la suivante : "L'assuré a droit à une rente s'il est invalide à 40 % au moins. La rente est échelonnée comme suit, selon le taux d'invalidité : 40 % au moins un quart, 50 % au moins une demie, 60 % au moins trois-quarts, 70 % au moins rente entière."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w:t>
      </w:r>
    </w:p>
    <w:p>
      <w:r>
        <w:t>A/3354/2008 - 11/14 -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5</w:t>
      </w:r>
    </w:p>
    <w:p>
      <w:r>
        <w:t>En l'occurrence, il convient tout d'abord de déterminer la capacité de travail du recourant en se fondant sur le dossier médical.</w:t>
      </w:r>
    </w:p>
    <w:p>
      <w:r>
        <w:t>A/3354/2008 - 12/14 - Se trouvent au dossier une expertise du Dr R________ de novembre 2007, des attestations des médecins traitants, notamment des Drs L_________ et et des avis des médecins du SMR. Il y a préalablement lieu de relever que l'expertise du Dr R________ remplit tous les réquisits pour lui reconnaître pleine valeur probante. En effet, elle est complète et ses conclusions sont motivées et convaincantes. Selon l'expert, il n'existe pas d'affection neurologique associée à une diminution de la capacité de travail. Il faut noter la présence d'un état anxieux, associé à des troubles attentionnels-mnésiques modérés, sans atteinte des fonctions cognitives proprement dites. Des céphalées chroniques et un glaucome n'ont pas d'influence sur la capacité de travail. L'évolution typiquement bénigne et l'absence de risque de ressaignement de l'hémorragie sous-arachnoïdienne du patient, sans rupture d'anévrisme ou malformation vasculaire, n'ont pu être comprises par le patient et l'état anxieux avec céphalées tensionnelles, nucalgies et épisodes migraineux s'est développé dans ce contexte, sans conséquence neurologique organique détectable au niveau cérébral. Il existe uniquement une limitation de la capacité de travail de l'ordre de 30 % pour les tâches nécessitant une forte activité attentionnelle, secondaire à un état anxieux chronifié avec somatisation. Il n'y a jamais eu, hormis à l'occasion de l'épisode aigu de 2003, une diminution de la capacité de travail pour des raisons neurologiques. Une prise en charge plus intensive de l'état anxieux, ainsi qu'un discours cohérent permettant de rassurer le patient sur l'absence de risque de récidive hémorragique seraient susceptibles de diminuer les troubles de la concentration ainsi que la somatisation secondaire à cet état anxieux, et par là-même d'améliorer le confort du patient dans son activité professionnelle. Les développements et les conclusions de cette expertise sont précis et convaincants. L'expert explique qu'il n'existe pas de limitation d'origine neurologique organique à l'incapacité de travail. Il reconnaît cependant une diminution du rendement de l'ordre de 30 % concernant des tâches nécessitant une forte activité attentionnelle, en raison d'un état anxieux chronifié avec somatisation. Cette expertise, ayant pleine valeur probante, sera donc suivie par le Tribunal de céans, qui constate que le recourant présente dans son activité habituelle une pleine capacité de travail, avec une diminution de rendement de 30 %. Il est à noter que selon l'expert une prise en charge psychiatrique de l'état anxieux ainsi qu'un discours cohérent permettant de rassurer le patient sur l'absence de risques de récidive hémorragique seraient susceptibles de diminuer les troubles de la concentration ainsi que la somatisation secondaire à cet état anxieux et par là-même d'améliorer le confort du patient dans son activité professionnelle. Par ailleurs, il convient de relever que les avis des Drs L_________ et P________, médecins traitants, ne sont pas de nature à remettre en cause les conclusions dûment motivées de l'expert. En effet, ils n'expliquent nullement en quoi la capacité de</w:t>
      </w:r>
    </w:p>
    <w:p>
      <w:r>
        <w:t>A/3354/2008 - 13/14 - travail est diminuée et sans substrat organique neurologique, il n'est pas possible de suivre leur appréciation. À cet égard, il y a lieu d'ajouter que les avis des médecins traitants, liés à leurs patients par un lien de confiance, ont moindre valeur probante que ceux des experts, neutres.</w:t>
      </w:r>
    </w:p>
    <w:p>
      <w:r>
        <w:rPr>
          <w:b/>
        </w:rPr>
        <w:t>E. 6</w:t>
      </w:r>
    </w:p>
    <w:p>
      <w:r>
        <w:t>Comme le recourant présente une diminution de rendement de 30 % dans son activité habituelle, diminution qui peut s'apparenter à une incapacité de travail de 30 %, celle-ci correspond au degré d'invalidité. Il n'est donc pas nécessaire de procéder à une comparaison des revenus avant et après invalidité. Ainsi, il y a lieu de constater que l'assuré présente un degré d'invalidité de 30 %, ne lui ouvrant pas droit à une rente. Par ailleurs, des mesures de réadaptation sont inutiles, puisque le recourant peut continuer à exercer la profession qui est la sienne.</w:t>
      </w:r>
    </w:p>
    <w:p>
      <w:r>
        <w:rPr>
          <w:b/>
        </w:rPr>
        <w:t>E. 7</w:t>
      </w:r>
    </w:p>
    <w:p>
      <w:r>
        <w:t>Au vu de ce qui précède, il convient de constater que le recours, mal fondé, doit être rejeté.</w:t>
      </w:r>
    </w:p>
    <w:p>
      <w:r>
        <w:t>A/3354/2008 - 14/14 -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