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ATAS/1359/2009 vom 29. Oktober 2009</w:t>
      </w:r>
    </w:p>
    <w:p>
      <w:r>
        <w:t>GE Cour de justice, 2009-10-29, FR</w:t>
      </w:r>
    </w:p>
    <w:p>
      <w:r>
        <w:rPr>
          <w:b/>
        </w:rPr>
        <w:t xml:space="preserve">Quelle: </w:t>
      </w:r>
      <w:r>
        <w:t>https://mcp.opencaselaw.ch/entscheid/ge_gerichte_ATAS_1359_2009</w:t>
      </w:r>
    </w:p>
    <w:p>
      <w:r>
        <w:t>FR: GE_GERICHTE ATAS/1359/2009 du 29 octobre 2009</w:t>
      </w:r>
    </w:p>
    <w:p>
      <w:r>
        <w:t>IT: GE_GERICHTE ATAS/1359/2009 del 29 ottobre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des nouvelles normes de la LPGA et des modifications de la LAI (ATF 130 V 445 et les références; voir également ATF 130 V 329).</w:t>
      </w:r>
    </w:p>
    <w:p>
      <w:r>
        <w:t>A/1503/2008 - 9/16 - Par ailleurs, le litige est soumis à la loi fédérale du 16 décembre 2005 modifiant la loi fédérale sur l'assurance-invalidité, entrée en vigueur le 1er juillet 2006 (RO 2006 2003). Cette loi a notamment apporté des modifications en ce qui concerne la procédure conduite devant le Tribunal cantonal des assurances (art. 52, 58 et 61 let. a LPGA).</w:t>
      </w:r>
    </w:p>
    <w:p>
      <w:r>
        <w:rPr>
          <w:b/>
        </w:rPr>
        <w:t>E. 3</w:t>
      </w:r>
    </w:p>
    <w:p>
      <w:r>
        <w:t>Interjeté dans les forme et délai légaux (art. 56 à 60 LPGA), le recours est recevable.</w:t>
      </w:r>
    </w:p>
    <w:p>
      <w:r>
        <w:rPr>
          <w:b/>
        </w:rPr>
        <w:t>E. 4</w:t>
      </w:r>
    </w:p>
    <w:p>
      <w:r>
        <w:t>A ce stade de la procédure, n’est plus litigieuse que la question de savoir si les atteintes à la santé de la recourante entraînent une perte de gain susceptible de lui ouvrir droit à une demi-rente. En effet, l’intimé a finalement admis, au terme de l’instruction et après consultation de l’un de ses spécialistes en réadaptation, qu’il se justifie que l’assurance-invalidité prenne en charge les cours d’anglais que doit suivre l’assurée ainsi que l’y engage son contrat de travail pour se voir maintenir au nouveau poste qui lui a été assigné. Sur ce point, il convient donc de faire droit à la proposition de l’intimé et d’admettre le recours.</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w:t>
      </w:r>
    </w:p>
    <w:p>
      <w:r>
        <w:t>A/1503/2008 - 10/16 -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A/1503/2008 - 11/16 -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En l’espèce, l’intimé a considéré que la recourante était apte à exercer à plein temps, avec une diminution de 20% seulement, une activité adaptée. La recourante conteste cette évaluation, alléguant que le nouveau poste que lui a proposé son employeur est adapté mais que, même dans ces conditions, elle ne peut travailler à plus de 50%. b) La Dresse L__________, dans son rapport du 20 décembre 2007, a conclu à une capacité de travail réduite à 50% depuis le 26 novembre 2007 dans l’activité de caissière. Cependant, elle a conclu à l’exigibilité d’une activité adaptée, précisant que l’assurée pouvait rester assise 7h./jour, qu’elle devait pouvoir alterner les positions toutes les heures et éviter la position agenouillée ou accroupie, le travail en hauteur et le soulèvement d’objets. Quant au Dr M__________, il s’est référé à l’avis du rhumatologue traitant et admis, à l’instar de ce dernier, une capacité de travail de 6 à 8 heures par jour, sans diminution de rendement, dans une activité adaptée. Dans ces circonstances, l’appréciation du SMR, qui a retenu une capacité de travail de 100% dans une activité adaptée, avec diminution de rendement de 20%, apparaît conforme aux avis émis par les médecins-traitants. Le Dr M__________ devait d’ailleurs une nouvelle fois préconiser, en janvier 2008, une reprise du travail à 100% dans une activité adaptée. Cependant, il ressort de l’audition de la Dresse O__________ que le poste occupé désormais par la recourante en tant que réceptionniste chez X__________ ne corresponde pas à une activité adaptée telle que l’ont décrite les médecins. En effet, si cette fonction n’implique certes pas de port de charges et permet l’alternance des positions, elle oblige néanmoins la recourante à se servir continuellement de ses mains (caisse, téléphone, petite manutention). On peut donc en tirer la conclusion qu’elle n’est pas parfaitement adaptée à l’état de santé de l’assurée, dont on ne saurait cependant exiger qu’elle recherche une autre activité. Il convient en effet de relever que, d’une part, l’assurée a déjà fait l’effort de se réadapter seule en négociant un changement de poste avec son employeur et que, d’autre part, on imagine mal quelle autre activité plus adaptée elle pourrait trouver dans la mesure où elle ne dispose d’aucune formation reconnue, maîtrise mal la langue française et où les activités manuelles lui sont par définition interdites.</w:t>
      </w:r>
    </w:p>
    <w:p>
      <w:r>
        <w:t>A/1503/2008 - 12/16 - Or, même dans l’activité de caissière réceptionniste, il a été confirmé par le Dr O__________ que l’assurée, eu égard à l’asthénie importante engendrée par sa maladie et les efforts qu’elle doit déployer pour assumer son poste de travail, ne peut raisonnablement l’occuper à plus de 50%, étant précisé au surplus, qu’une fatigue excessive entraine une exacerbation des douleurs. Eu égard à ces considérations, le Tribunal de céans considère qu’il y a donc lieu de retenir que l’assurée ne peut exercer à plus de 50% son activité actuelle, qu’il y a lieu de considérer malgré tout comme la plus adaptée à son état. Il sied en effet de rappeler qu’il appartient à l’administration d'indiquer quelles sont les possibilités de travail concrètes qui entrent en considération, compte tenu des indications médicales et des autres aptitudes de l'assuré (ATF 107 V 20 consid. 2b = RCC 1982 p. 34) et qu’il ne faut pas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 Il en découle que, lors de l'évaluation de l'invalidité, la détermination du revenu raisonnablement exigible malgré l'atteinte à la santé ne saurait être fondée sur des possibilités d'emploi irréalistes. On ne peut en particulier parler d'une activité au sens de l’art. 28 al. 2 LAI dans la mesure où elle n'est possible que sous une forme tellement restreinte que le marché du travail en général ne la connaît pas ou qu'à la condition de concessions irréalistes de la part d'un employeur moyen et que, de ce fait, il semble d'emblée exclu de trouver un emploi correspondant (RCC 1989 p. 332 consid. 4a; RCC 1991 consid. 3b p. 332). En l’occurrence, eu égard à la maladie dont est atteinte la recourante et, comme il a été dit supra, au fait qu’elle est sans formation et ne peut par ailleurs espérer exercer d’activité manuelle ou répétitive, qu’elle continue à exercer une activité lucrative en dépit de son invalidité et - au surplus - que les rapports de travail sont particulièrement stables, il y a lieu de considérer que la recourante utilise sa capacité de travail résiduelle dans la mesure qu'on est en droit d'exiger d’elle et que le gain qu’elle réalise désormais constitue le revenu déterminant (VSI 2000 p. 318 consid. 3b/aa et réf. citées).</w:t>
      </w:r>
    </w:p>
    <w:p>
      <w:r>
        <w:rPr>
          <w:b/>
        </w:rPr>
        <w:t>E. 7</w:t>
      </w:r>
    </w:p>
    <w:p>
      <w:r>
        <w:t>La recourante conteste également l’empêchement retenu dans la sphère ménagère.</w:t>
      </w:r>
    </w:p>
    <w:p>
      <w:r>
        <w:t>A/1503/2008 - 13/16 -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En l’espèce, il n’existe aucun élément permettant de mettre en doute la valeur probante et les conclusions de l’enquête ménagère. En effet, les médecins interrogés ne se sont pas déterminés sur cette question. Seule la Dresse O__________ a émis l’hypothèse que la fatigue engendrée par l’exercice de l’activité lucrative devait se ressentir, sans pouvoir donner plus de détails. Par ailleurs, l’assurée n’a pas amené d’éléments objectifs permettant de contester les empêchements retenus par l’enquêtrice dans les différents postes. Il convient enfin de rappeler qu’il découle de l’obligation de réduire le dommage, de tenir compte de l’aide que peuvent apporter les proches à l’assurée. En conséquence, le Tribunal constate qu’en l’occurrence, il n’y a pas lieu de s’écarter du degré d’invalidité de 42.5% retenu dans la sphère ménagère.</w:t>
      </w:r>
    </w:p>
    <w:p>
      <w:r>
        <w:rPr>
          <w:b/>
        </w:rPr>
        <w:t>E. 8</w:t>
      </w:r>
    </w:p>
    <w:p>
      <w:r>
        <w:t>a) Reste donc à calculer le taux d'invalidité présenté par la recourante. b) Chez les assurés actifs, le degré d'invalidité doit être évalué sur la base d'une comparaison des revenus. Pour cela, le revenu que l'assuré aurait pu obtenir s'il</w:t>
      </w:r>
    </w:p>
    <w:p>
      <w:r>
        <w:t>A/1503/2008 - 14/16 -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w:t>
      </w:r>
    </w:p>
    <w:p>
      <w:r>
        <w:t>A/1503/2008 - 15/16 -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w:t>
      </w:r>
    </w:p>
    <w:p>
      <w:r>
        <w:rPr>
          <w:b/>
        </w:rPr>
        <w:t>E. 9</w:t>
      </w:r>
    </w:p>
    <w:p>
      <w:r>
        <w:t>En l’espèce, il n’est pas contestable que l’assurée, sans atteinte à la santé, aurait continué à travailler à 73% (soit 30 h./sem., l’horaire à plein temps étant de 41h./sem.), les 27% restants étant consacrés aux activités ménagères. Il s’agit à présent de procéder à l’évaluation du taux d’invalidité global au moyen de la méthode mixte d’évaluation ; ce taux se détermine à l’aide de la formule suivante :</w:t>
      </w:r>
    </w:p>
    <w:p>
      <w:r>
        <w:t>E x IE + ([EZ - E] x H) EZ</w:t>
      </w:r>
    </w:p>
    <w:p>
      <w:r>
        <w:t>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w:t>
      </w:r>
    </w:p>
    <w:p>
      <w:r>
        <w:t>Le calcul à effectuer est donc le suivant : [30 x 50 + ([41 – 30] x 42.5)] : 41 = 47.99%, arrondi à 48%, taux suffisant pour ouvrir droit à un quart de rente.</w:t>
      </w:r>
    </w:p>
    <w:p>
      <w:r>
        <w:rPr>
          <w:b/>
        </w:rPr>
        <w:t>E. 10</w:t>
      </w:r>
    </w:p>
    <w:p>
      <w:r>
        <w:t>Au vu de ce qui précède, le recours est donc partiellement admis en ce sens que la recourante se voit reconnaître le droit à la prise en charge de ses cours d’anglais, conformément à la proposition faite par l’intimé, ainsi que le droit à un quart de rente d’invalidité à compter du 26 novembre 2008.</w:t>
      </w:r>
    </w:p>
    <w:p>
      <w:r>
        <w:t>A/1503/2008 - 16/16 -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