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ATAS/1359/2008 vom 20. November 2008</w:t>
      </w:r>
    </w:p>
    <w:p>
      <w:r>
        <w:t>GE Cour de justice, 2008-11-20, FR</w:t>
      </w:r>
    </w:p>
    <w:p>
      <w:r>
        <w:rPr>
          <w:b/>
        </w:rPr>
        <w:t xml:space="preserve">Quelle: </w:t>
      </w:r>
      <w:r>
        <w:t>https://mcp.opencaselaw.ch/entscheid/ge_gerichte_ATAS_1359_2008</w:t>
      </w:r>
    </w:p>
    <w:p>
      <w:r>
        <w:t>FR: GE_GERICHTE ATAS/1359/2008 du 20 novembre 2008</w:t>
      </w:r>
    </w:p>
    <w:p>
      <w:r>
        <w:t>IT: GE_GERICHTE ATAS/1359/2008 del 20 novembre 2008</w:t>
      </w:r>
    </w:p>
    <w:p>
      <w:pPr>
        <w:pStyle w:val="Heading2"/>
      </w:pPr>
      <w:r>
        <w:t>Erwägungen</w:t>
      </w:r>
    </w:p>
    <w:p>
      <w:r>
        <w:rPr>
          <w:b/>
        </w:rPr>
        <w:t>E. 21</w:t>
      </w:r>
    </w:p>
    <w:p>
      <w:r>
        <w:t>L'assuré a interjeté recours contre cette décision par courrier du 30 avril 2007. Il conclut à ce que lui soit octroyée une rente entière. Le recourant se réfère à l'avis de son médecin traitant, le Dr C__________, et allègue n'être toujours pas en mesure de reprendre l'exercice d'une quelconque activité professionnelle, même à temps partiel. Quant au revenu sans invalidité, il demande que l'on se réfère à celui qu'il aurait été en mesure de réaliser dans son activité de magasinier, soit 83'200 fr. en 2004, et non à celui qu'il aurait réalisé en qualité de manœuvre.</w:t>
      </w:r>
    </w:p>
    <w:p>
      <w:r>
        <w:rPr>
          <w:b/>
        </w:rPr>
        <w:t>E. 22</w:t>
      </w:r>
    </w:p>
    <w:p>
      <w:r>
        <w:t>Par courrier du 1er mai 2007, le Dr C__________ a indiqué que suite à une consultation médicale le 30 avril 2005, il avait été convenu avec son patient de tenter une reprise de l'activité professionnelle à 50 % dans un travail léger ne nécessitant pas le port de lourdes charges.</w:t>
      </w:r>
    </w:p>
    <w:p>
      <w:r>
        <w:rPr>
          <w:b/>
        </w:rPr>
        <w:t>E. 23</w:t>
      </w:r>
    </w:p>
    <w:p>
      <w:r>
        <w:t>Par courrier du 22 mai 2007, l'assuré a maintenu son recours. Il soutient que la comparaison des revenus avec et sans invalidité conduit à un degré d'invalidité de 73 % lui ouvrant droit à une rente entière.</w:t>
      </w:r>
    </w:p>
    <w:p>
      <w:r>
        <w:rPr>
          <w:b/>
        </w:rPr>
        <w:t>E. 24</w:t>
      </w:r>
    </w:p>
    <w:p>
      <w:r>
        <w:t>Invité à se déterminer, l'OCAI, dans sa réponse du 21 août 2007, a conclu au rejet du recours. Il relève que la capacité de travail exigible de l'assuré n'est désormais plus contestée. Il maintient par ailleurs que le salaire sans invalidité est celui que</w:t>
      </w:r>
    </w:p>
    <w:p>
      <w:r>
        <w:t>A/1740/2007 - 5/9 - l'assuré aurait réalisé en poursuivant dans le domaine d'activité qui était le sien, à savoir la construction; le revenu réalisé par la suite en tant que magasinier devant être considéré comme un salaire d'invalide.</w:t>
      </w:r>
    </w:p>
    <w:p>
      <w:r>
        <w:rPr>
          <w:b/>
        </w:rPr>
        <w:t>E. 25</w:t>
      </w:r>
    </w:p>
    <w:p>
      <w:r>
        <w:t>Suite à l'arrêt du Tribunal fédéral, le recourant a fait remarquer que la question du revenu avant invalidité n'avait pas été tranchée. Il souligne que le Tribunal cantonal, dans son arrêt du 9 mai 2006, avait retenu, quant à lui, que compte tenu des accidents en chaîne dont il avait été victime, il n'y aurait pas lieu, dans le cadre de la comparaison des gains, de se baser sur le revenu de manœuvre. Le recourant considère qu'il a prouvé que sans atteinte à la santé, il aurait pu travailler à 100 % en qualité de magasinier et réaliser ainsi un revenu annuel brut de 83'200 fr. sur lequel il convient de se baser dans la mesure où son revenu sans invalidité doit être évalué de manière aussi concrète que possible, d'autant qu'il n'a travaillé comme manœuvre que durant une année et quatre mois, il y a plus de quinze ans.</w:t>
      </w:r>
    </w:p>
    <w:p>
      <w:r>
        <w:rPr>
          <w:b/>
        </w:rPr>
        <w:t>E. 26</w:t>
      </w:r>
    </w:p>
    <w:p>
      <w:r>
        <w:t>Dans sa duplique du 26 novembre 2007, l'OCAI a maintenu sa position.</w:t>
      </w:r>
    </w:p>
    <w:p>
      <w:r>
        <w:rPr>
          <w:b/>
        </w:rPr>
        <w:t>E. 27</w:t>
      </w:r>
    </w:p>
    <w:p>
      <w:r>
        <w:t>L'OCAI a ensuite rendu deux nouvelles décisions en date du 1er avril 2008, l'une portant sur la période du 1er mars 2005 au 31 décembre 2007, l'autre portant sur la période postérieure au 1er janvier 2008. Ces deux décisions n'ont apporté qu'une seule modification : l'échelle de rente est passée de 33 à 37. Pour le reste, le degré d'invalidité est demeuré inchangé.</w:t>
      </w:r>
    </w:p>
    <w:p>
      <w:r>
        <w:rPr>
          <w:b/>
        </w:rPr>
        <w:t>E. 28</w:t>
      </w:r>
    </w:p>
    <w:p>
      <w:r>
        <w:t>Par courriers du 5 mai 2008, l'assuré a formellement interjeté recours contre ces deux décisions. Ces recours ont été enregistrés sous un même numéro de cause (A/1570/2008). L'assuré a fait valoir les mêmes arguments que dans son recours du</w:t>
      </w:r>
    </w:p>
    <w:p>
      <w:r>
        <w:rPr>
          <w:b/>
        </w:rPr>
        <w:t>E. 30</w:t>
      </w:r>
    </w:p>
    <w:p>
      <w:r>
        <w:t>Par courrier du 12 juin 2008, l'OCAI a maintenu sa position.</w:t>
      </w:r>
    </w:p>
    <w:p>
      <w:r>
        <w:t>EN DROIT 1.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w:t>
      </w:r>
    </w:p>
    <w:p>
      <w:r>
        <w:t>A/1740/2007 - 6/9 - La compétence du Tribunal de céans pour juger du cas d'espèce est ainsi établie. 2.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13 mars 2007,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3. Interjeté dans les forme et délai légaux (art. 56 à 60 LPGA), le recours est recevable. 4. A ce stade de la procédure, le litige ne porte plus que sur le calcul du degré d'invalidité. Le recourant ne conteste en effet plus être capable d'exercer à 50% une activité professionnelle adaptée. La question porte en particulier sur le montant à retenir comme premier élément de la comparaison des revenus. Le recourant conteste en effet que l'on se base sur le revenu qu'il aurait réalisé sans atteinte à la santé dans la profession de manœuvre qui a été la sienne de 1990 à 1992 et demande que l'on se fonde plutôt sur celui qu'il aurait pu obtenir en tant que magasinier, profession qu'il exerce depuis 2001. 5. a) L'entrée en vigueur de la 4ème révision de la LAI a modifié la teneur de l'art. 28 al. 1 LAI relatif à l'échelonnement des rentes selon le taux d'invalidité. Alors qu'une</w:t>
      </w:r>
    </w:p>
    <w:p>
      <w:r>
        <w:t>A/1740/2007 - 7/9 -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b) En l’espèce, la comparaison des gains doit s'effectuer au début de l'année 2005, date à laquelle l'état de santé du recourant s'est aggravé. Partant, c'est à ce moment- là qu'il faut déterminer quel serait le revenu qu'il aurait réalisé s'il avait été en bonne santé. Considérant qu'en 2005, cela faisait plus de quatre ans que l'assuré travaillait comme magasinier, il est parfaitement soutenable d'en tirer la conclusion que s'il avait disposé de tous ses moyens, c'est cette profession qu'il aurait exercé à plein temps. Étant rappelé que le revenu avant invalidité doit être déterminé le plus concrètement possible, il convient en effet de se référer, en l'occurrence, à la situation telle qu'elle se présentait au moment où l'assuré a une nouvelle fois été atteint dans sa santé. Bien que la profession de magasinier soit effectivement la profession adoptée après une première réadaptation, il paraît certainement beaucoup</w:t>
      </w:r>
    </w:p>
    <w:p>
      <w:r>
        <w:t>A/1740/2007 - 8/9 - plus défendable de s'y référer plutôt qu'à la profession de manœuvre, exercée à peine plus d'une année et il y a de cela plus de quinze ans. En conséquence, il y a lieu de retenir comme premier terme de comparaison, le revenu qu'aurait obtenu le recourant en 2005 en tant que magasinier, soit 83'994 fr. (41'600 fr. à 50% en 2004, selon questionnaire à l'employeur [pce 4 rec.], soit 83'200 fr. à plein temps en 2004, soit 83'994 fr. après indexation selon l'évolution des salaires nominaux [La Vie économique, tableau B10.3 n°9/2007 - p. 99]). Quant au revenu avec invalidité, il n'est pas contesté. Il y a dès lors lieu de se référer au montant de 22'832 fr. (ESS 2004, TA1, tous secteurs confondus, pour une activité de niveau 4 : 4'268 fr. pour un horaire de 40 h./sem. = 4'439 fr. pour un horaire de 41,6 h./sem. = 53'265 fr. = 53'723 fr. en 2005 = 26'862 fr. à 50 % = 22'832 fr. après réduction supplémentaire de 15 %) retenu par l'intimé. La comparaison des gains conduit à un degré d'invalidité de 72,82% ouvrant droit à une rente entière d'invalidité. Eu égard aux considérations qui précèdent, le recours est admis.</w:t>
      </w:r>
    </w:p>
    <w:p>
      <w:r>
        <w:t>A/1740/2007 - 9/9 -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