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ATAS/1357/2012 vom 8. November 2012</w:t>
      </w:r>
    </w:p>
    <w:p>
      <w:r>
        <w:t>GE Cour de justice, 2012-11-08, FR</w:t>
      </w:r>
    </w:p>
    <w:p>
      <w:r>
        <w:rPr>
          <w:b/>
        </w:rPr>
        <w:t xml:space="preserve">Quelle: </w:t>
      </w:r>
      <w:r>
        <w:t>https://mcp.opencaselaw.ch/entscheid/ge_gerichte_ATAS_1357_2012</w:t>
      </w:r>
    </w:p>
    <w:p>
      <w:r>
        <w:t>FR: GE_GERICHTE ATAS/1357/2012 du 8 novembre 2012</w:t>
      </w:r>
    </w:p>
    <w:p>
      <w:r>
        <w:t>IT: GE_GERICHTE ATAS/1357/2012 del 8 novembre 2012</w:t>
      </w:r>
    </w:p>
    <w:p>
      <w:pPr>
        <w:pStyle w:val="Heading2"/>
      </w:pPr>
      <w:r>
        <w:t>Erwägungen</w:t>
      </w:r>
    </w:p>
    <w:p>
      <w:r>
        <w:rPr>
          <w:b/>
        </w:rPr>
        <w:t>E. 1</w:t>
      </w:r>
    </w:p>
    <w:p>
      <w:r>
        <w:t>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bien-fondé de la décision de l’assureur-accidents de mettre un terme à la prise en charge du sinistre le 15 septembre 2010, particulièrement sur la question de la persistance, au-delà de cette date, d’un lien de causalité naturelle entre l’accident du 17 novembre 2007 et les troubles subsistant chez l’assuré.</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t>A/3736/2011 - 11/17 -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a/aa)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a/bb)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a/cc)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w:t>
      </w:r>
    </w:p>
    <w:p>
      <w:r>
        <w:t>A/3736/2011 - 12/17 - p. 75 consid. 4b). A contrario,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 S’agissant de l’aggravation d’un état antérieur dégénératif au niveau de la colonne vertébrale, le statu quo sine est dans la règle atteint après 6 ou 9 mois, mais au plus tard après un an (ATF non publié 8C_508/2008 du 22 octobre 2008, consid.4.2). En effet, la preuve médicale de la causalité naturelle dans un tel cas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(ATF non publiés 8C_412/2008 du 3 novembre 2008, consid. 5.1.2; 8C_467/2007 du 25 octobre 2007, consid. 3.1; voir également ATFA non publié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(ATFA non publié U 354/04 du 11 avril 2005, consid. 2.2; voir également ATFA non publié U 60/02 du 18 septembre 2002).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t>A/3736/2011 - 13/17 -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(ATF non publiés 9C_12/2012 consid. 7.1, 8C_15/2009 du 11 janvier 2010 consid. 3.2, 9C_973/2011 du 27 février 2012 consid. 3.2.1, 9C_888/2011 du 13 juin 2012 consid. 4.3). c) On ajoutera qu'en cas de divergence d’opinion entre experts et médecins traitants, il n'est pas, de manière générale, nécessaire de mettre en œuvre une nouvelle expertise. La valeur probante des rapports médicaux des uns et des autres</w:t>
      </w:r>
    </w:p>
    <w:p>
      <w:r>
        <w:t>A/3736/2011 - 14/17 -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U 359/04 du 20 décembre 2005, consid. 2; U 389/04 du 27 octobre 2005, consid. 4.1; U 222/04 30 novembre 2004, consid. 1.3).</w:t>
      </w:r>
    </w:p>
    <w:p>
      <w:r>
        <w:rPr>
          <w:b/>
        </w:rPr>
        <w:t>E. 9</w:t>
      </w:r>
    </w:p>
    <w:p>
      <w:r>
        <w:t>a) En l’espèce, il ne fait aucun doute que le rapport d’expertise du 19 janvier 2010 présente une pleine valeur probante, ce qui n’est d’ailleurs par contesté par le recourant. Les conclusions dudit rapport ne sont d’ailleurs pas litigieuses, dès lors que les experts confirment le lien de causalité entre l’incapacité de travail partielle et l’accident assuré, indiquant que la question du statu quo devra être examinée six mois plus tard.</w:t>
      </w:r>
    </w:p>
    <w:p>
      <w:r>
        <w:t>A/3736/2011 - 15/17 - b) Est par contre litigieuse la valeur probante du rapport complémentaire du 25 novembre 2010. Après avoir résumé le dossier médical depuis la dernière expertise, rappelé l’anamnèse et décrit les plaintes actuelles du recourant et les constatations médicales objectives, le Dr D__________ a indiqué : « Pour ma part, si j’ai d’abord donné un avis positif de poursuite de l’incapacité de travail oralement à l’assuré lors de mon examen, j’ai ensuite reçu les rapports relatifs à la recherche biologique d’opiacés, prouvant que le traitement n’était pas pris puisque le résultat s’est avéré négatif. Or, l’assuré avait expliqué que le traitement était un support très important dans le cadre des algies post-traumatiques, position réitérée, alors que la prise de ce traitement a été cessée, à une date indéterminée. En l’absence de prise médicamenteuse, une persistance de douleurs importantes contrôlées par médicament et empêchant une reprise du travail ne peut être retenue. Au niveau neurologique, une douleur résiduelle post contusion médullaire peut exister, elle peut ne pas être intense au point de nécessiter un traitement médical soutenu, ce qui amène à poser la question de l’étiologie des douleurs présentées et rapportées par l’assuré. En effet, l’asthénie et la fatigue qui persistent ne sont pas en relation de causalité naturelle avec un trouble neurologique. Comme nous l’avons expliqué à plusieurs reprises, la pathologie dégénérative est aussi présente dans les plaintes persistantes, même si son incidence est aussi niée par l’assuré. Ainsi, soit il existe une pathologie psychiatrique, soit l’assuré exprime par la persistance de ces symptômes son mécontentement, a priori inconscient, d’avoir été déclassé ». On peut déduire du passage susmentionné que si le résultat de l’examen urinaire s’était révélé avoir été positif aux opiacés, le Dr D__________ aurait admis la persistance d’une incapacité de travail à la charge de l’intimé, la question de l’étiologie des douleurs ne se posant alors pas. Or, les explications du Dr B__________ quant aux résultats obtenus au test sanguin paraissent convaincantes. Cet avis ne saurait être purement et simplement écarté au motif qu’il émane du médecin traitant, d’autant que ses explications sont corroborées par la littérature. Il est en effet reconnu que le Tramadol ne peut être mis en évidence par la recherche non ciblée d’opiacés dans les urines ; il faut pour cela utiliser des tests avec un anticorps spécifique (cf. « Le screening toxicologique aux urgences », article du Dr H__________, publié sur le site de la Société française de médecine d’urgence [www.sfmu.org/urgences2010/donnees/pdf/019_nisse.pdf]).</w:t>
      </w:r>
    </w:p>
    <w:p>
      <w:r>
        <w:t>A/3736/2011 - 16/17 - A la lecture du résultat de la chimie clinique, la Cour constate que seule une recherche non ciblée a été effectuée, le rapport d’UNILABS ne mentionnant pas une recherche spécifique du Tramadol. Par conséquent, les contestations du recourant et de son médecin suffisent à faire douter de la valeur probante du rapport complémentaire du Dr D__________, dès lors que celui-ci s’est basé principalement sur ces résultats pour nier un lien de causalité entre l’incapacité de travail persistante et l’accident assuré. c) Certes, le Dr D__________ a par la suite allégué, dans son courrier du 24 juin 2011, que le débat sur le Tramadol était secondaire au vrai problème, à savoir les atteintes dégénératives prononcées existantes. Ces explications ne convainquent pas la Cour de céans dans la mesure où il apparaît clairement que le Dr D__________ ne s’est précédemment posé la question de l’étiologie des douleurs que parce que le test urinaire s’était révélé négatif. Si la question de savoir si l’assuré suivait strictement ou non son traitement était réellement secondaire, le Dr D__________ aurait dû se poser la question de l’étiologie, indépendamment des résultats du test urinaire. d) Force est de constater qu’à l’exception de la première expertise, à l’issue de laquelle l’expert admettait une incapacité de travail en lien avec l’accident assuré, celles des 25 novembre 2010 et 24 juin 2011 ne remplissent pas les conditions permettant de leur reconnaître une pleine valeur probante.</w:t>
      </w:r>
    </w:p>
    <w:p>
      <w:r>
        <w:rPr>
          <w:b/>
        </w:rPr>
        <w:t>E. 10</w:t>
      </w:r>
    </w:p>
    <w:p>
      <w:r>
        <w:t>Au vu de ce qui précède, le recours est partiellement admis et la décision sur opposition du 6 octobre 2011 annulée. La cause est renvoyée à l’intimé pour mise en œuvre d’une nouvelle expertise auprès d’un expert indépendant, autre que le Dr D__________. Le recourant obtenant partiellement gain de cause, une indemnité de 2’500 fr. lui sera accordée à titre de participation à ses frais et dépens (art. 61 let. g LPGA). Pour le surplus, la procédure est gratuite (art. 61 let. a LPGA).</w:t>
      </w:r>
    </w:p>
    <w:p>
      <w:r>
        <w:t>A/3736/2011 - 17/17 -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