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ATAS/1355/2021 vom 23. Dezember 2021</w:t>
      </w:r>
    </w:p>
    <w:p>
      <w:r>
        <w:t>GE Cour de justice, 2021-12-23, FR</w:t>
      </w:r>
    </w:p>
    <w:p>
      <w:r>
        <w:rPr>
          <w:b/>
        </w:rPr>
        <w:t xml:space="preserve">Quelle: </w:t>
      </w:r>
      <w:r>
        <w:t>https://mcp.opencaselaw.ch/entscheid/ge_gerichte_ATAS_1355_2021</w:t>
      </w:r>
    </w:p>
    <w:p>
      <w:r>
        <w:t>FR: GE_GERICHTE ATAS/1355/2021 du 23 décembre 2021</w:t>
      </w:r>
    </w:p>
    <w:p>
      <w:r>
        <w:t>IT: GE_GERICHTE ATAS/1355/2021 del 23 dicembre 2021</w:t>
      </w:r>
    </w:p>
    <w:p>
      <w:pPr>
        <w:pStyle w:val="Heading2"/>
      </w:pPr>
      <w:r>
        <w:t>Erwägungen</w:t>
      </w:r>
    </w:p>
    <w:p>
      <w:r>
        <w:rPr>
          <w:b/>
        </w:rPr>
        <w:t>E. 1</w:t>
      </w:r>
    </w:p>
    <w:p>
      <w:r>
        <w:t>La compétence de la Cour de céans et la recevabilité du recours ont été examinés dans l’ordonnance d’expertise du 28 octobre 2020, de sorte qu’il suffit d’y renvoyer.</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le recours étant alors déjà pendant devant la Cour de céans, il reste soumis à l'ancien droit (cf. art. 82a LPGA; RO 2020 5137; FF 2018 1597; erratum de la Commission de rédaction de l’Assemblée fédérale du 19 mai 2021, publié le 18 juin 2021 in RO 2021 358).</w:t>
      </w:r>
    </w:p>
    <w:p>
      <w:r>
        <w:rPr>
          <w:b/>
        </w:rPr>
        <w:t>E. 4</w:t>
      </w:r>
    </w:p>
    <w:p>
      <w:r>
        <w:t>Le litige porte sur la question de savoir si le droit aux prestations du recourant doit être modifié suite à l’aggravation de son état de santé alléguée.</w:t>
      </w:r>
    </w:p>
    <w:p>
      <w:r>
        <w:rPr>
          <w:b/>
        </w:rPr>
        <w:t>E. 5</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w:t>
      </w:r>
    </w:p>
    <w:p>
      <w:r>
        <w:t>A/412/2019 - 7/16 -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w:t>
      </w:r>
    </w:p>
    <w:p>
      <w:r>
        <w:t>A/412/2019 - 8/16 -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A/412/2019 - 9/16 -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c/cc.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A/412/2019 - 10/16 - c/dd.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c/ee.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10</w:t>
      </w:r>
    </w:p>
    <w:p>
      <w:r>
        <w:t>a. En l'espèce, il convient d'examiner si l'état de santé du recourant s'est péjoré depuis la décision du 22 avril 2010 ‒ confirmée par le Tribunal fédéral le 17 juillet 2012. Pour ce faire, il y a lieu de comparer les faits tels qu'ils se présentaient lors de cette décision à ceux prévalant au moment de la décision querellée du 12 décembre 2018.</w:t>
      </w:r>
    </w:p>
    <w:p>
      <w:r>
        <w:t>A/412/2019 - 11/16 - b. À l'époque, le recourant, qui ne présentait aucune atteinte à la santé psychique à caractère invalidant, souffrait, sur le plan somatique, d'une capsulite rétractile de l'épaule droite et de gonalgies bilatérales sur syndrome fémoro-patellaire bilatéral, chondrite du condyle fémoral interne du genou droit et tendinopathie du tenseur du fascia lata au genou droit. Sa capacité de travail, nulle dans son activité habituelle de carreleur (de l'avis unanime de tous les médecins l'ayant examiné), était de 75% (six heures par jour) avec une diminution de rendement de 20% dans une activité adaptée, sans port de charges, ne nécessitant pas de geste répétitif ou de force avec le membre supérieur droit, permettant l'alternance des positions assise et debout, et évitant les positions accroupies ou à genoux, les déplacements sur des terrains en pente ou irréguliers, les positions penchées en avant, ainsi que les positions statiques prolongées de l'ordre de trente minute d'affilées (rapport du CEMed du 30 janvier 2009 p. 19-22). C'est ainsi que le recourant a été mis au bénéfice d'une demi-rente d'invalidité fondée sur un degré d'invalidité de 56% dès avril 2000. c. La décision attaquée, quant à elle, qui maintient l’octroi d’une demi-rente, se fonde sur les rapports d’expertise bidisciplinaire des 26 juillet 2018 et 13 août 2018, établis par les Drs E______ (rhumatologue) et F______ (psychiatre), dont la valeur probante a été niée par la Cour de céans en ce qui concerne le volet rhumatologique par ordonnance du 28 octobre 2020, au motif qu'il existait un doute sérieux au sujet des déductions que le Dr E______ tirait des imageries (IRM du coude gauche du 23 mai 2017, radiographie du coude gauche du 8 juin 2018, ultrasonographie des épaules droite et gauche du 6 juillet 2018), compte tenu de l'analyse de mêmes imageries effectuée par le Prof. I______. Aussi la Cour de céans a-t-elle mis sur pied une expertise rhumatologique, confiée au Dr L______, lequel a rendu son rapport le 11 août 2021 complété le</w:t>
      </w:r>
    </w:p>
    <w:p>
      <w:r>
        <w:rPr>
          <w:b/>
        </w:rPr>
        <w:t>E. 12</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 total secteur privé » (ATF 124 V 321 consid. 3b/aa). On se réfère alors à</w:t>
      </w:r>
    </w:p>
    <w:p>
      <w:r>
        <w:t>A/412/2019 - 14/16 -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13</w:t>
      </w:r>
    </w:p>
    <w:p>
      <w:r>
        <w:t>En l'occurrence, quand bien même le Dr L______ n'a pas désigné les activités compatibles avec les limitations du recourant, 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Cela étant précisé, dans la mesure où le changement important de la capacité de travail ayant une incidence sur la capacité de gain remonte à octobre 2010 (consid. 10d ci-dessus), il convient de se placer en 2010 pour procéder à la comparaison des revenus. Selon les données communiquées par l'ancien employeur, le revenu sans invalidité du recourant s'élevait à CHF 65'121.35 en 2000 (ATAS/973/2011 du 18 octobre 2011 consid. 9; arrêt du Tribunal fédéral 9C_874/2011 du 17 juillet 2012 consid. 6). Réactualisé à 2010 selon l’indice suisse des salaires nominaux pour les hommes (ISS; en 2000 : 1856 et en 2010 : 2150), ce revenu est porté à CHF 75'436.90.- (65'121.35 × 2150/ 1856). Dès lors que le recourant n'a pas repris d'activité lucrative, il y a lieu de se fonder sur les salaires résultant de l'ESS pour déterminer le revenu avec invalidité.</w:t>
      </w:r>
    </w:p>
    <w:p>
      <w:r>
        <w:t>A/412/2019 - 15/16 - Le salaire de référence est celui que peuvent réaliser les hommes dans des activités simples et répétitives dans le secteur privé. D’après l’ESS 2010, ce revenu s’élève à CHF 4'901.- par mois (tableau TA1, niveau 4, total, homme, part au 13ème salaire comprise) ou à CHF 58'812.- par année (4'901 × 12). Ce salaire hypothétique se base toutefois sur une durée hebdomadaire de travail de 40 heures, inférieure à la moyenne usuelle dans les entreprises. Il convient dès lors de l’ajuster à la durée hebdomadaire normale de travail en 2010, lequel est de 41.6 heures (tableau « Durée normale du travail dans les entreprises selon la division économique » de l’office fédéral de la statistique), ce qui représente un salaire annuel de CHF 61'164.48.- pour un plein temps (58'812 × 41.6/ 40). Compte tenu d'une baisse de rendement de 30 %, le revenu avec invalidité se monte à CHF 42'815.14 (61'164.48 × 30 / 100 = 18'349.34; 61'164.48 - 18'349.34 = 42'815.14). Même en opérant une déduction maximale de 25% admise par la jurisprudence à titre d'abattement, le revenu d'invalide, qui s'élèverait alors à CHF 32'111.35 (42'815.14 - 10'703.785 [42'815.14 × 25/ 100 = 10'703.785]), comparé avec le revenu sans invalidité de CHF 75'436.90.-, aboutirait à un degré d'invalidité de 57.43% ([75'436.90 - 32'111.35] / 75'436.90× 100), arrondi à 57% (ATF 130 V 121 consid. 3.2), taux donnant droit à une demi-rente. Partant, en tant qu’elle octroie une demi-rente d'invalidité, la décision querellée ne peut qu'être confirmée.</w:t>
      </w:r>
    </w:p>
    <w:p>
      <w:r>
        <w:rPr>
          <w:b/>
        </w:rPr>
        <w:t>E. 14</w:t>
      </w:r>
    </w:p>
    <w:p>
      <w:r>
        <w:t>En conséquence, le recours sera rejeté. Le recourant, qui succombe, n'a pas droit à des dépens (art. 61 let. g LPGA a contrario). Au vu du sort du recours, il y a lieu de condamner le recourant au paiement d'un émolument, arrêté en l'espèce à CHF 200.- (art. 69 al.1bis LAI). Les frais de l’expertise judiciaire seront laissés à la charge de l’État.</w:t>
      </w:r>
    </w:p>
    <w:p>
      <w:r>
        <w:t>A/412/2019 - 16/16 -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