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ATAS/1355/2012 vom 8. November 2012</w:t>
      </w:r>
    </w:p>
    <w:p>
      <w:r>
        <w:t>GE Cour de justice, 2012-11-08, FR</w:t>
      </w:r>
    </w:p>
    <w:p>
      <w:r>
        <w:rPr>
          <w:b/>
        </w:rPr>
        <w:t xml:space="preserve">Quelle: </w:t>
      </w:r>
      <w:r>
        <w:t>https://mcp.opencaselaw.ch/entscheid/ge_gerichte_ATAS_1355_2012</w:t>
      </w:r>
    </w:p>
    <w:p>
      <w:r>
        <w:t>FR: GE_GERICHTE ATAS/1355/2012 du 8 novembre 2012</w:t>
      </w:r>
    </w:p>
    <w:p>
      <w:r>
        <w:t>IT: GE_GERICHTE ATAS/1355/2012 del 8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Sur le</w:t>
      </w:r>
    </w:p>
    <w:p>
      <w:r>
        <w:t>A/286/2012 - 6/10 -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4ème révision de l’AI, en vigueur le 1er janvier 2004, et celles de la 5ème révision de l’AI, en vigueur le 1er janvier 2008, sont applicables, dans la mesure de leur pertinence.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le recours est recevable (art. 56 et 60 LPGA).</w:t>
      </w:r>
    </w:p>
    <w:p>
      <w:r>
        <w:rPr>
          <w:b/>
        </w:rPr>
        <w:t>E. 4</w:t>
      </w:r>
    </w:p>
    <w:p>
      <w:r>
        <w:t>Le litige porte sur le droit du recourant à la prise en charge intégrale, par l’assurance-invalidité, de l’installation d’un monte-escaliers.</w:t>
      </w:r>
    </w:p>
    <w:p>
      <w:r>
        <w:rPr>
          <w:b/>
        </w:rPr>
        <w:t>E. 5</w:t>
      </w:r>
    </w:p>
    <w:p>
      <w:r>
        <w:t>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1ère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w:t>
      </w:r>
    </w:p>
    <w:p>
      <w:r>
        <w:t>A/286/2012 - 7/10 -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130 V 491).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commenté par Marc HÜRZELER in RSJB 2009 p. 26; ATF non publié I 502/05 du 9 juin 2006, publié in SVR 2006 IV n° 53 p. 201).</w:t>
      </w:r>
    </w:p>
    <w:p>
      <w:r>
        <w:rPr>
          <w:b/>
        </w:rPr>
        <w:t>E. 6</w:t>
      </w:r>
    </w:p>
    <w:p>
      <w:r>
        <w:t>a) Sous la catégorie n° 13 intitulée « moyens auxiliaires servant à l’aménagement du poste de travail, à l’accomplissement des travaux habituels, ou facilitant la scolarisation ou la formation de l’assuré ; mesures architectoniques l’aidant à se rendre au travail », la liste édictée par le DFI contient un chiffre n° 13.05* intitulé « installations de plates-formes élévatrices et de monte-rampes d’escalier ainsi que suppression ou modification d’obstacles architecturaux à l’intérieur et aux abords des lieux d’habitation, de travail, de formation et de scolarisation » qui stipule que : « si ces mesures permettent à l’assuré de se rendre au travail, à l’école ou à son lieu de formation, ou d’accomplir ses travaux habituels, la remise a lieu sous forme de prêt. » Aux termes du chiffre 13.05.5* de la circulaire de l'Office fédéral des assurances sociales concernant la remise des moyens auxiliaires par l'AI (CMAI), pour pouvoir apprécier la nécessité des moyens auxiliaires, il faut déterminer, notamment, si</w:t>
      </w:r>
    </w:p>
    <w:p>
      <w:r>
        <w:t>A/286/2012 - 8/10 - l'utilisation du moyen envisagé permet une amélioration du rendement d'au moins 10%. Selon la jurisprudence, l'exigence quantitative d'efficacité de la réadaptation de 10% au moins postulée par le chiffre 13.05.5* doit être interprétée en relation avec la règle générale du chiffre 1019 CMAI. Il s'agit, partant, d'un taux indicatif duquel on peut s'écarter lorsque les circonstances le justifient et non d'un minimum absolu (ATF 129 V 67). S’agissant spécifiquement des travaux habituels, la CMAI prévoit que si les moyens auxiliaires nécessaires à l’exercice de tels travaux sont coûteux, ils ne peuvent être remis que si la capacité de travail peut être, grâce à eux, notablement améliorée ou maintenue, à savoir en règle générale d’au moins 10% selon une expertise domestique (chiffre 1019 CMAI ; ATF non publié n° I 989/06 du 7 décembre 2007). b) A teneur de l’art. 27 RAI, on entend notamment par « travaux habituels des assurés travaillant dans le ménage », l’activité usuelle dans le ménage, l’éducation des enfants ainsi que toute activité artistique ou d’utilité publique. Conformément à la jurisprudence fédérale, l’aménagement du temps libre et les hobbys n’entrent pas dans la notion de travaux habituels (ATF non publié I 609/05 du 1er février 2006, consid. 4.3.1).</w:t>
      </w:r>
    </w:p>
    <w:p>
      <w:r>
        <w:rPr>
          <w:b/>
        </w:rPr>
        <w:t>E. 7</w:t>
      </w:r>
    </w:p>
    <w:p>
      <w:r>
        <w:t>a) En l’espèce, l’OAI nie que l’installation du monte-escalier litigieux puisse entrainer une amélioration d’au moins 10% de la capacité de travail du recourant. L’intimé fonde son opinion sur la note de travail établie le 5 décembre 2011 par l’infirmière ayant réalisé l’enquête à domicile dans le cadre de l’examen des conditions d’octroi de l’allocation pour impotent. La Cour constate d’emblée que cette note de travail, au demeurant non signée, ne peut être assimilée à une enquête domestique au sens du chiffre 1019 CMAI et de la jurisprudence fédérale. D’ailleurs, l’intimé ne le prétend pas. Certes, la personne qui a établi la note de travail semble être la même infirmière que celle qui a procédé aux enquêtes visant à évaluer l’impotence. Cependant, les enquêtes réalisées les 23 février 2009 et 21 octobre 2010 ne portent à l’évidence pas sur la capacité du recourant à effectuer les travaux habituels mais uniquement sur sa capacité à effectuer, seul, les actes de la vie quotidienne suivants : se vêtir/dévêtir, se lever/s’asseoir/se coucher, manger, faire sa toilette, aller aux toilettes et se déplacer. Le rapport d’enquête ne contient ainsi aucune indication quant aux travaux habituels (conduite du ménage, alimentation, entretien du logement, emplettes et courses diverses, lessive et entretien des vêtements, soins aux enfants ou aux autres membres de la famille et divers), ce qui est logique dès lors que l’infirmière était chargée d’évaluer l’impotence du recourant et non sa capacité à assumer les travaux ménagers.</w:t>
      </w:r>
    </w:p>
    <w:p>
      <w:r>
        <w:t>A/286/2012 - 9/10 - De plus, si dans sa note du 5 décembre 2011, l’infirmière indique effectivement que le recourant ne peut plus se charger des tâches ménagères depuis longtemps, le dossier de l’OAI ne permet pas d’en connaître les raisons ni de répondre à la question de savoir si certaines tâches ménagères peuvent désormais être exigées de lui maintenant qu’il se déplace en fauteuil roulant. Par conséquent, l’appréciation de l’utilité du monte-escaliers n’est pas pertinente puisqu’on ne connaît pas les empêchements actuels dans le ménage. Dès lors que le dossier de l’intimé ne contient aucune enquête à domicile examinant précisément la capacité du recourant à accomplir les travaux habituels et la mesure dans laquelle cette capacité serait influencée par l’installation d’un monte-escalier, il est incomplet. b) Quant aux déclarations de l’ergothérapeute du recourant, elles ne sont pas suffisamment précises pour déterminer si une augmentation de 10% du rendement est envisageable grâce au monte-escaliers. c) Par conséquent, au vu de ce qui précède, la décision querellée, qui se fonde sur un état de fait incomplet que la procédure d’enquêtes par-devant la Cour de céans n’a pas permis de compléter, est annulée et la cause renvoyée à l’OAI pour réalisation d’une enquête ménagère en bonne et due forme et nouvelle décision.</w:t>
      </w:r>
    </w:p>
    <w:p>
      <w:r>
        <w:rPr>
          <w:b/>
        </w:rPr>
        <w:t>E. 8</w:t>
      </w:r>
    </w:p>
    <w:p>
      <w:r>
        <w:t>Le recourant, qui obtient partiellement gain de cause, a droit à une indemnité à titre de participation à ses frais et dépens, que la Cour de céans fixe en l’occurrence, compte tenu de la brièveté des écritures, à 1’200 fr. (art. 1 let. g LPGA ; art. 89H al. 3 de la loi sur la procédure administrative, du 12 septembre 1985 - LPA ; RS E 5 10). Étant donné que, depuis le 1er juillet 2006, la procédure n'est plus gratuite (art. 69 al. 1bis LAI), au vu du sort du recours, il y a lieu de condamner l'intimé au paiement d'un émolument de 200 fr.</w:t>
      </w:r>
    </w:p>
    <w:p>
      <w:r>
        <w:t>A/286/2012 - 10/10 -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