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ATAS/1353/2021 vom 23. Dezember 2021</w:t>
      </w:r>
    </w:p>
    <w:p>
      <w:r>
        <w:t>GE Cour de justice, 2021-12-23, FR</w:t>
      </w:r>
    </w:p>
    <w:p>
      <w:r>
        <w:rPr>
          <w:b/>
        </w:rPr>
        <w:t xml:space="preserve">Quelle: </w:t>
      </w:r>
      <w:r>
        <w:t>https://mcp.opencaselaw.ch/entscheid/ge_gerichte_ATAS_1353_2021</w:t>
      </w:r>
    </w:p>
    <w:p>
      <w:r>
        <w:t>FR: GE_GERICHTE ATAS/1353/2021 du 23 décembre 2021</w:t>
      </w:r>
    </w:p>
    <w:p>
      <w:r>
        <w:t>IT: GE_GERICHTE ATAS/1353/2021 del 23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RO 2020 5137;</w:t>
      </w:r>
    </w:p>
    <w:p>
      <w:r>
        <w:t>A/3295/2020 - 4/11 - FF 2018 1597; erratum de la Commission de rédaction de l’Assemblée fédérale du 19 mai 2021, publié le 18 juin 2021 in RO 2021 358).</w:t>
      </w:r>
    </w:p>
    <w:p>
      <w:r>
        <w:rPr>
          <w:b/>
        </w:rPr>
        <w:t>E. 4</w:t>
      </w:r>
    </w:p>
    <w:p>
      <w:r>
        <w:t>Interjeté dans les forme et délai prévus par la loi, le recours est recevable (art. 56 et 60 LPGA; art. 62 al. 1 let. a de la loi sur la procédure administrative, du 12 septembre 1985 [LPA - E 5 10])</w:t>
      </w:r>
    </w:p>
    <w:p>
      <w:r>
        <w:rPr>
          <w:b/>
        </w:rPr>
        <w:t>E. 5</w:t>
      </w:r>
    </w:p>
    <w:p>
      <w:r>
        <w:t>Le litige porte sur le droit de la recourante à une allocation pour impotent de degré faible.</w:t>
      </w:r>
    </w:p>
    <w:p>
      <w:r>
        <w:rPr>
          <w:b/>
        </w:rPr>
        <w:t>E. 6</w:t>
      </w:r>
    </w:p>
    <w:p>
      <w:r>
        <w:t>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Est aussi considérée comme impotente la personne vivant chez elle qui, en raison d’une atteinte à sa santé, a durablement besoin d’un accompagnement lui permettant de faire face aux nécessités de la vie (art. 42 al. 3 1ère phrase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1ère phrase LAI, avoir droit au moins à un quart de rente (art. 42 al. 3 2ème phrase LAI).</w:t>
      </w:r>
    </w:p>
    <w:p>
      <w:r>
        <w:rPr>
          <w:b/>
        </w:rPr>
        <w:t>E. 7</w:t>
      </w:r>
    </w:p>
    <w:p>
      <w:r>
        <w:t>a. La loi distingue trois degrés d’impotence: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w:t>
      </w:r>
    </w:p>
    <w:p>
      <w:r>
        <w:t>A/3295/2020 - 5/11 - accomplir les actes ordinaires de la vie constitue donc une appréciation fonctionnelle ou qualitative de la situation (arrêt du Tribunal fédéral 9C_350/2014 du 11 septembre 2014 consid. 4.2.2 et la référence). b.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c. L’art. 37 al. 2 RAI stipule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d. L’art. 37 al. 3 RAI dispose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w:t>
      </w:r>
    </w:p>
    <w:p>
      <w:r>
        <w:rPr>
          <w:b/>
        </w:rPr>
        <w:t>E. 8</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Circulaire sur l’invalidité et l’impotence dans l’assurance-invalidité établie par l’Office fédéral des assurances sociales [OFAS ; CIIAI], ch. 8024).</w:t>
      </w:r>
    </w:p>
    <w:p>
      <w:r>
        <w:t>A/3295/2020 - 6/11 -</w:t>
      </w:r>
    </w:p>
    <w:p>
      <w:r>
        <w:rPr>
          <w:b/>
        </w:rPr>
        <w:t>E. 9</w:t>
      </w:r>
    </w:p>
    <w:p>
      <w:r>
        <w:t>a. 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 c.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w:t>
      </w:r>
    </w:p>
    <w:p>
      <w:r>
        <w:t>A/3295/2020 - 7/11 - officiels, le personnel médical ou le coiffeur (arrêt du Tribunal fédéral 9C_131/2019 du 16 août 2019 consid. 4.1 et la référence). d. 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 e. L’art. 38 al. 3 1ère phrase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 f.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Il n’est pas nécessaire que l’accompagnement pour faire face aux nécessités de la vie soit assuré par un personnel d’encadrement qualifié ou spécialement formé (arrêt du Tribunal fédéral I 652/06 du 25 juillet 2007 consid. 5.2).</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w:t>
      </w:r>
    </w:p>
    <w:p>
      <w:r>
        <w:t>A/3295/2020 - 8/11 - droit aux prestations d’assurances sociales, il y a lieu de se baser sur des éléments médicaux fiables (ATF 134 V 231 consid 5.1).</w:t>
      </w:r>
    </w:p>
    <w:p>
      <w:r>
        <w:rPr>
          <w:b/>
        </w:rPr>
        <w:t>E. 11</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w:t>
      </w:r>
    </w:p>
    <w:p>
      <w:r>
        <w:t>A/3295/2020 - 9/11 - nécessaire de clarifier les aspects médicaux du cas (ATF 117 V 282 consid. 4a; RAMA 1985 p. 240 consid. 4; arrêt du Tribunal fédéral des assurances I 751/03 du 19 mars 2004 consid. 3.3).</w:t>
      </w:r>
    </w:p>
    <w:p>
      <w:r>
        <w:rPr>
          <w:b/>
        </w:rPr>
        <w:t>E. 14</w:t>
      </w:r>
    </w:p>
    <w:p>
      <w:r>
        <w:t>En l'espèce, il ressort du rapport d'enquête du 14 novembre 2017, ainsi que du courrier de l'IMAD du 13 juin 2017, que la recourante a besoin de l'aide d'une tierce personne pour les tâches administratives et la prise de rendez-vous médicaux, ainsi que pour la préparation et l'administration des traitements, évaluée à 122 minutes au moins par semaine (30 heures sur 17 semaines [rapport d'enquête], soit environ 105 minutes par semaine, auxquelles s'ajoute l'aide de l'IMAD tous les quinze jours, d'une durée de 35 minutes, équivalant à 17,5 minutes par semaine), ce qui correspond à un accompagnement de deux heures par semaine au minimum. Selon l'intimé, l'aide prodiguée pour les tâches administratives ainsi que pour la prise de rendez-vous ne doit pas être prise en considération, motif pris qu'elle ne découle pas d'une atteinte à la santé, mais du manque de scolarisation de la recourante. Cela étant, ainsi que l'a relevé la Cour de céans dans son arrêt du 27 juin 2019 (ATAS/608/2019), l'instruction du dossier en procédure contentieuse a révélé qu'une atteinte psychique ou mentale était potentiellement présente, de sorte qu'une instruction complémentaire était nécessaire afin de déterminer si une éventuelle pathologie contribuait au besoin d'assistance. L'intimé, après s'être contenté d'interroger la Dresse C______, médecin traitant, a estimé qu'une expertise psychiatrique était superflue, motif pris que l'assurée n'avait jamais présenté de symptômes psychiatriques, ni suivi de traitement psychotrope (cf. avis du SMR du 30 septembre 2020). Or, dans le questionnaire qu'elle a complété le 16 décembre 2019, la Dresse C______ a mentionné que sa patiente avait de la peine à comprendre et à appliquer les consignes. Le médecin traitant a certes confirmé que sa patiente ne souffrait d'aucune atteinte psychiatrique, mais n'a pas exclu un éventuel déficit cognitif qui n'a jusqu'à présent pas été investigué (cf. rapport du 18 novembre 2021). Dans ces circonstances, on ne saurait faire l'économie d'une expertise médicale au seul motif qu'en l'absence de scolarisation, un bilan neuropsychologique « avec test de QI » ne serait pas fiable (cf. écriture du 3 décembre 2021 et avis du SMR des 30 septembre 2020 et 2 décembre 2021). Il importe, pour déterminer le droit aux prestations de la recourante, de savoir si elle souffre d'un trouble cognitif qui expliquerait, cas échéant, son besoin d'accompagnement. Aussi convient-il de mettre en œuvre une expertise neurologique, complétée par un bilan neuropsychologique. Il appartiendra à l'expert de prendre les mesures qui s'imposent et d'adapter son examen, compte tenu de la situation de la recourante</w:t>
      </w:r>
    </w:p>
    <w:p>
      <w:r>
        <w:t>A/3295/2020 - 10/11 - (sourde-muette, absence de scolarisation), afin de répondre aux questions en suspens.</w:t>
      </w:r>
    </w:p>
    <w:p>
      <w:r>
        <w:t>PAR CES MOTIFS, LA CHAMBRE DES ASSURANCES SOCIALES : Statuant Préparatoirement : I. Ordonne une expertise neurologique, complétée par un bilan neuropsychologique. La confie aux docteurs D______, médecin interne neurologue et E______ médecin chef de clinique superviseur ainsi qu’à Mesdames F______ neuropsychologue et G______, neuropsychologue (ASPN) superviseur. II. Dit que la mission d’expertise sera la suivante : A. Prendre connaissance du dossier de la cause. B. Si nécessaire prendre tous renseignements auprès des médecins ayant traité la personne expertisée, notamment les docteurs H______ et C______. C. Examiner la personne expertisée et, si nécessaire, ordonner d'autres examens en s'adjoignant, si nécessaire, les services d'un interprète en langue des signes. D. Établir un rapport comprenant les éléments et les réponses aux questions suivantes : 1. Quelle est l'anamnèse détaillée? 2. Quelles sont les plaintes de la personne expertisée? 3. Quelles sont vos constatations objectives? 4. Quels sont les diagnostics? 5. Depuis quand ces atteintes sont-elles présentes chez la personne expertisée? En particulier: 6. La personne expertisée souffre-t-elle d'un déficit cognitif ? 7. Les difficultés que rencontre la personne expertisée pour gérer ses tâches administratives, prendre des rendez-vous médicaux, et préparer ses médicaments sont-elles dues : a. à un déficit cognitif ‒ et/ou à toute autre atteinte retenue au point D.4 ci-dessus ‒ ou b. à son absence de scolarisation? 8. Faire toutes autres observations ou suggestions utiles.</w:t>
      </w:r>
    </w:p>
    <w:p>
      <w:r>
        <w:t>A/3295/2020 - 11/11 - E. Invite l’expert à déposer son rapport en trois exemplaires dans les meilleurs délais auprès de la Cour de céans. F. Réserve le fond ainsi que le sort des frais jusqu’à droit jugé au fond. III. Fixe aux parties un délai de 10 jours dès réception de la présente pour faire valoir d’éventuels motifs de récusation des experts nommés.</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