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ATAS/1353/2014 vom 23. Dezember 2014</w:t>
      </w:r>
    </w:p>
    <w:p>
      <w:r>
        <w:t>GE Cour de justice, 2014-12-23, FR</w:t>
      </w:r>
    </w:p>
    <w:p>
      <w:r>
        <w:rPr>
          <w:b/>
        </w:rPr>
        <w:t xml:space="preserve">Quelle: </w:t>
      </w:r>
      <w:r>
        <w:t>https://mcp.opencaselaw.ch/entscheid/ge_gerichte_ATAS_1353_2014</w:t>
      </w:r>
    </w:p>
    <w:p>
      <w:r>
        <w:t>FR: GE_GERICHTE ATAS/1353/2014 du 23 décembre 2014</w:t>
      </w:r>
    </w:p>
    <w:p>
      <w:r>
        <w:t>IT: GE_GERICHTE ATAS/1353/2014 del 23 dicembre 2014</w:t>
      </w:r>
    </w:p>
    <w:p>
      <w:pPr>
        <w:pStyle w:val="Heading2"/>
      </w:pPr>
      <w:r>
        <w:t>Erwägungen</w:t>
      </w:r>
    </w:p>
    <w:p>
      <w:r>
        <w:rPr>
          <w:b/>
        </w:rPr>
        <w:t>E. 1</w:t>
      </w:r>
    </w:p>
    <w:p>
      <w:r>
        <w:t>Conformément à l'art. 134 al. 1 let. a ch. 2 de la loi sur l'organisation judiciaire, du 9 octobre 2009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w:t>
      </w:r>
    </w:p>
    <w:p>
      <w:r>
        <w:t>A/3657/2013 - 26/35 - 1er janvier 2012, entraînent la modification de nombreuses dispositions légales dans le domaine de l'assurance-invalidité. Sur le plan matériel, le point de savoir quel droit s'applique doit être tranché à la lumière du principe selon lequel les règles applicables sont celles en vigueur au moment où les faits juridiquement déterminants se sont produits (ATF 129 V 1 consid. 1 ; 127 V 466 consid. 1 et les références). En ce qui concerne en revanche la procédure, et à défaut de règles transitoires contraires, le nouveau droit s'applique sans réserve dès le jour de son entrée en vigueur (ATF 117 V 71consid. 6b ; 112 V 356 consid. 4a ; RAMA 1998 KV 37 p. 316 consid. 3b). En l'espèce, la décision litigieuse du 14 octobre 2013 est postérieure à l'entrée en vigueur des modifications de la LAI suscitées. Par conséquent, du point de vue matériel, le droit éventuel à des prestations d'invalidité doit être examiné au regard des modifications de la LAI consécutives aux 4ème, 5ème et 6ème révisions de cette loi, dans la mesure de leur pertinence (ATF 130 V 445 et les références ; voir également ATF 130 V 329).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w:t>
      </w:r>
    </w:p>
    <w:p>
      <w:r>
        <w:rPr>
          <w:b/>
        </w:rPr>
        <w:t>E. 4</w:t>
      </w:r>
    </w:p>
    <w:p>
      <w:r>
        <w:t>Interjeté dans la forme et le délai prévus par la loi, le recours est recevable (art. 56ss LPGA ; art. 89B de la loi sur la procédure administrative du 12 septembre 1985 [LPA; RSG E 5 10]).</w:t>
      </w:r>
    </w:p>
    <w:p>
      <w:r>
        <w:rPr>
          <w:b/>
        </w:rPr>
        <w:t>E. 5</w:t>
      </w:r>
    </w:p>
    <w:p>
      <w:r>
        <w:t>Le litige sur l’évaluation de l’invalidité du recourant et sur son droit à des prestations de l’assurance invalidité, rente ou mesures de réadaptation professionnelle. L’argumentation du recourant porte principalement sur la valeur probante de l’expertise de juin 2013, qu’il conteste.</w:t>
      </w:r>
    </w:p>
    <w:p>
      <w:r>
        <w:rPr>
          <w:b/>
        </w:rPr>
        <w:t>E. 5.1</w:t>
      </w:r>
    </w:p>
    <w:p>
      <w:r>
        <w:t>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du recourant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le recourant aurait pu obtenir s’il n’était pas invalide est comparé avec celui qu’il pourrait obtenir en exerçant l’activité qui peut raisonnablement être exigée de lui après les traitements et les mesures de réadaptation, sur un marché du travail équilibré (art. 16 LPGA et art. 28a LAI).</w:t>
      </w:r>
    </w:p>
    <w:p>
      <w:r>
        <w:t>A/3657/2013 - 27/35 -</w:t>
      </w:r>
    </w:p>
    <w:p>
      <w:r>
        <w:t>En vertu de l’art. 28 al. 1 LAI, le recourant a droit à une rente entière s’il est invalide à 70% au moins, à un trois-quarts de rente s’il est invalide à 60% au moins, à une demi-rente s’il est invalide à 50% au moins ou à un quart de rente s’il est invalide à 40% au moins.</w:t>
      </w:r>
    </w:p>
    <w:p>
      <w:r>
        <w:t>Selon l’art. 28 al. 2 LAI en corrélation avec les art. 7 et 16 LPGA, la réadaptation a la priorité sur la rente dont l’octroi rentre en ligne de compte que si une réadaptation suffisante est impossible. Saisie d’une demande de rente ou appelée à se prononcer à l’occasion d’une révision de celle-ci, l’administration doit donc examiner d’office, avant toute chose, la question de la réintégration du recourant dans le circuit économique (ATF 108 V 210, 99 V 48).</w:t>
      </w:r>
    </w:p>
    <w:p>
      <w:r>
        <w:t>En vertu de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 que les conditions d’octroi des différentes mesures soient remplies (let. b). Lors de la fixation de ces mesures, il est tenu compte de la durée probable de la vie professionnelle restante (art. 8 al. 1bis LAI). Figurent au sein des mesures de réadaptation les mesures d’ordre professionnel (orientation professionnelle, formation professionnelle initiale, reclassement, placement, aide en capital) (art. 8 al. 3 let. b LAI). De plus, à compter du 1er janvier 2008, l’art. 7d al 2 let. d LAI indique que les offices AI peuvent ordonner des mesures d’orientation professionnelle, dans le cadre des mesures d’intervention précoces introduites par la 5ème révision de la LAI. Le seuil minimum fixé par la jurisprudence pour ouvrir droit à une mesure de reclassement est une diminution de la capacité de gain de 20 % environ (ATF 124 V 110).</w:t>
      </w:r>
    </w:p>
    <w:p>
      <w:r>
        <w:rPr>
          <w:b/>
        </w:rPr>
        <w:t>E. 5.2</w:t>
      </w:r>
    </w:p>
    <w:p>
      <w:r>
        <w:t>Pour pouvoir calculer le degré d’invalidité, l’administration (ou le juge, s’il y a eu un recours) a besoin de documents que le médecin, éventuellement aussi d’autres spécialistes, doivent lui fournir. Les données médicales constituent un élément utile pour déterminer quels travaux on peut encore, raisonnablement, exiger du recourant (ATF 125 V 261, consid. 4.).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du recourant (ATFA non publié I 654/00 du</w:t>
      </w:r>
    </w:p>
    <w:p>
      <w:r>
        <w:rPr>
          <w:b/>
        </w:rPr>
        <w:t>E. 5.3</w:t>
      </w:r>
    </w:p>
    <w:p>
      <w:r>
        <w:t>Selon le principe de la libre-appréciation des preuves, qui s’applique aussi bien en procédure administrative qu’en procédure de recours de droit</w:t>
      </w:r>
    </w:p>
    <w:p>
      <w:r>
        <w:t>A/3657/2013 - 29/35 -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Selon la jurisprudence et la doctrine, l’autorité administrative ou le juge ne doivent considérer un fait comme prouvé que lorsqu’ils sont convaincus de sa réalité (KUMMER, Grundriss des Zivilprozessrechts, IVème éd., Berne 1984, p. 136 ; GYGI, Bundesverwaltungsrechtspflege, IIème éd., ch.5, p. 278). Dans le domaine des assurances sociales, le juge fonde sa décision, sauf disposition contraire de la loi, sur les faits qui, faute d’être établis de manière irréfutable, apparaissent comme les plus vraisemblables, c’est-à-dire qu’ils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réf. ; ATF 120 III 324 et ss, consid. 3.2. et 3.3.). Aussi n’existe-t-il pas, en droit des assurances sociales, un principe selon lequel l’administration ou le juge devrait statuer dans le doute en faveur du recourant (ATF 126 V 322, consid. 5a). Par ailleurs,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 (ATF 125 V 195 consid. 2 et réf. ; cf. ATF 130 I 183, consid. 3.2.).</w:t>
      </w:r>
    </w:p>
    <w:p>
      <w:r>
        <w:rPr>
          <w:b/>
        </w:rPr>
        <w:t>E. 5.4</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t>A/3657/2013 - 30/35 -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ATFA non publié I 751/03 du 19 mars 2004, consid. 3.3). Dans un arrêt de principe, le Tribunal fédéral a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instruit du tout un point médical ou lorsqu’il s’agit d’un éclaircissement ou d’une précision ou d’un complément d’une expertise (ATF 137 V 210 consid. 4.4.1.4 in fine et les références).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464consid. 4a, ATF 122 III 219 consid. 3c). Une telle manière de procéder ne viole pas le droit d’être entendu selon l’art. 29 al. 2 Cst (SVR 2001 IV n. 10 p. 28 consid. 4b).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w:t>
      </w:r>
    </w:p>
    <w:p>
      <w:r>
        <w:t>A/3657/2013 - 31/35 -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w:t>
      </w:r>
    </w:p>
    <w:p>
      <w:r>
        <w:rPr>
          <w:b/>
        </w:rPr>
        <w:t>E. 5.5</w:t>
      </w:r>
    </w:p>
    <w:p>
      <w:r>
        <w:t>En l’espèce, il y a lieu d’examiner tout d’abord la valeur probante de l’expertise mise en œuvre par l’OAI suite au renvoi par la Cour, contestée par le recourant.</w:t>
      </w:r>
    </w:p>
    <w:p>
      <w:r>
        <w:t>Ce dernier a fait valoir que les experts désignés par l’OAI n’étaient pas indépendants, dans la mesure où la Clinique Corela obtenait ses revenus de par les mandats confiés par l’assurance. Or, les trois experts choisis l’ont été au sein de la Clinique Corela.</w:t>
      </w:r>
    </w:p>
    <w:p>
      <w:r>
        <w:t>Il a été établi que la Clinique Corela avait désignée de manière tout à fait aléatoire, en respect des prescriptions réglementaires fédérales, au moyen du système SuisseMED@P.</w:t>
      </w:r>
    </w:p>
    <w:p>
      <w:r>
        <w:t>Les experts désignés au sein de la Clinique Corela l’ont été sur la base de leurs spécialisations, en fonction des domaines impliqués par l’expertise en question.</w:t>
      </w:r>
    </w:p>
    <w:p>
      <w:r>
        <w:t>Ces experts ont confirmé fonctionner en tant qu’indépendants, sur la base de mandats que la clinique leur confie, sans faire partie de ses employés.</w:t>
      </w:r>
    </w:p>
    <w:p>
      <w:r>
        <w:t>Au vu de ce qui précède, les critiques du recourant tombent à faux, en ce sens que le défaut d’indépendance de la Clinique Corela et partant des experts mandatés par cette dernière, ne peut pas être retenue.</w:t>
      </w:r>
    </w:p>
    <w:p>
      <w:r>
        <w:t>S’agissant des personnes des médecins désignés comme experts, il y a lieu de constater que le recourant ne fait valoir aucune critique particulière et qu’il n’a présenté aucun motif de récusation dans le délai qui lui avait été imparti pour ce faire par l’OAI, de sorte qu’il n’est plus en mesure d’en faire à ce stade.</w:t>
      </w:r>
    </w:p>
    <w:p>
      <w:r>
        <w:t>Le recourant n’a pas non plus contesté ni complété les questions posées aux experts par l’OAI, alors qu’il avait également reçu un délai pour le faire.</w:t>
      </w:r>
    </w:p>
    <w:p>
      <w:r>
        <w:t>Par ailleurs, la Cour constate que le rapport d’expertise est basé sur une anamnèse et une analyse complète du dossier, lequel comportait tous les rapports et documents d’examens pertinents. L’état de santé du recourant a fait l’objet d’examens complets, par spécialisation, pratiqués par les trois experts. Une IRM complémentaire a été requise avant que les experts ne se prononcent. Les plaintes du recourant ont été prises en considération et ont fait l’objet de discussions</w:t>
      </w:r>
    </w:p>
    <w:p>
      <w:r>
        <w:t>A/3657/2013 - 32/35 - approfondies, en relation avec les éléments médicaux constatés. Les spécialistes ont procédé à des discussions, puis pris des conclusions, séparément, puis conjointement. Ils se sont clairement prononcés sur les conclusions, de manière concordante, s’agissant de la capacité de travail, de même que sur les limitations fonctionnelles à retenir. Leurs conclusions, dûment et abondamment motivées, sont parfaitement convaincantes.</w:t>
      </w:r>
    </w:p>
    <w:p>
      <w:r>
        <w:t>Elles ont au surplus fait l’objet de précisions complémentaires, apportées en enquêtes par les trois experts.</w:t>
      </w:r>
    </w:p>
    <w:p>
      <w:r>
        <w:t>Le fait que l’expertise n’ait pas porté sur toute la période qui s’était déroulée entre 2008 et 2013 ne s’avère par pertinent en l’espèce. En effet, aucun examen n’a été effectué sur le recourant durant cette période. Aucun traitement particulier n’a été prescrit au recourant qui diffère de ceux qu’il avait déjà reçu auparavant, avant 2012.</w:t>
      </w:r>
    </w:p>
    <w:p>
      <w:r>
        <w:t>Le recourant lui-même a indiqué devant la Cour que son état de santé ne s’était pas modifié depuis 2011. Lorsqu’il avait été entendu par la Cour en décembre 2010, il avait déjà déclaré souffrir de douleurs lombaires depuis 2006, dont la quantité et la qualité étaient stables. Ses déclarations vont ainsi dans le sens des considérations des experts qui ont retenu que la situation ne s’était pas péjorée de manière durable ni de manière à influer sur la capacité de travail.</w:t>
      </w:r>
    </w:p>
    <w:p>
      <w:r>
        <w:t>Le seul changement ressorti de l’instruction relève des propos tenus par le recourant au sujet de la médication absorbée, confirmés par les compte rendus de consultations des HUG de l’année 2012, à savoir qu’en sus des anti-inflammatoires et des antalgiques de palier I déjà pris en considération, le recourant s’est vu prescrire des antalgiques de palier II.</w:t>
      </w:r>
    </w:p>
    <w:p>
      <w:r>
        <w:t>Les experts, interrogés sur cet élément devant la Cour, ont cependant confirmé que cela ne modifierait en rien leurs constatations médicales, lesquelles les avaient porté à considérer que les plaintes du recourant relativement aux douleurs subies paraissaient exagérées, dans la mesure où les douleurs n’étaient pas objectivées par les examens médicaux. Ils s’étaient par ailleurs aussi interrogés sur le fait que des antalgiques de palier II n’aient pas encore été proposés au recourant pour soulager ses douleurs.</w:t>
      </w:r>
    </w:p>
    <w:p>
      <w:r>
        <w:t>Au sujet desdites douleurs, la Cour relève cependant que durant la période où des antalgiques de palier II ont été prescrits par les HUG, ces derniers ont mentionné dans les compte rendus de consultations que les douleurs pouvaient être mises en lien avec les conditions de vie du recourant à cette époque.</w:t>
      </w:r>
    </w:p>
    <w:p>
      <w:r>
        <w:t>Elle se doit aussi de constater que les traitements préconisés, aussi bien par la Dresse D______ que par les experts et les HUG n’ont pas été mis en œuvre de manière satisfaisante par le recourant. Celui-ci n’a par exemple pas suivi les</w:t>
      </w:r>
    </w:p>
    <w:p>
      <w:r>
        <w:t>A/3657/2013 - 33/35 - séances de physiothérapie, ni entrepris les exercices de gainage ou fait en sorte de perdre du poids de manière durable, alors qu’il s’agissait des seules mesures conseillées par les différents médecins consultés et qu’il se plaignait de douleurs récurrentes. La Cour constate également que les avis de toutes les personnes qui ont préconisé de retenir une incapacité de travail, au moins partielle, du recourant, à savoir les Drs C______ et D______, ainsi que les rédacteurs des rapports de stages professionnels n’ont apporté aucun élément médical objectivable dans ce sens. Au contraire, comme les experts l’ont relevé, leurs avis ne reposaient que sur les plaintes présentées par le recourant.</w:t>
      </w:r>
    </w:p>
    <w:p>
      <w:r>
        <w:t>Ainsi, le fait que les experts aient conclu à une pleine capacité de travail alors que le recourant se plaignait de douleurs importantes n’apparaît pas contradictoire.</w:t>
      </w:r>
    </w:p>
    <w:p>
      <w:r>
        <w:t>Quant aux conclusions sur les incidences du canal étroit, le recourant n’a présenté aucun document médical ou avis de médecins qui permette de remettre valablement les conclusions des experts en question.</w:t>
      </w:r>
    </w:p>
    <w:p>
      <w:r>
        <w:t>Au vu de ce qui précède, la valeur probante de l’expertise ne saurait être valablement remise en question. Ses conclusions lient par conséquent la Cour.</w:t>
      </w:r>
    </w:p>
    <w:p>
      <w:r>
        <w:rPr>
          <w:b/>
        </w:rPr>
        <w:t>E. 5.6</w:t>
      </w:r>
    </w:p>
    <w:p>
      <w:r>
        <w:t>L’expertise ayant déterminé de manière claire l’état de santé du recourant, sa capacité de travail et les limitations fonctionnelles à prendre en compte, reste à examiner si le recourant à droit à des prestations découlant de la loi sur l’invalidité.</w:t>
      </w:r>
    </w:p>
    <w:p>
      <w:r>
        <w:t>A bon droit, le recourant n’a pas contesté les éléments retenus par l’OAI dans la décision entreprise.</w:t>
      </w:r>
    </w:p>
    <w:p>
      <w:r>
        <w:t>Ce dernier a pris en considération les revenus tirés par le recourant de l’ancienne activité professionnelle et les a comparés avec les revenus que ce dernier pourrait réaliser, dans le cadre d’une activité de niveau 4, à savoir en exécutant des tâches simples et répétitives.</w:t>
      </w:r>
    </w:p>
    <w:p>
      <w:r>
        <w:t>Dans le cadre de cette comparaison, l’OAI a été plus indulgent que les experts qui avaient retenu une totale capacité de travail dans l’ancienne activité, avec une seule limitation fonctionnelle non respectés, à savoir les mouvements en porte-à-faux, mais en indiquant que la place de travail pouvait être adaptée en conséquence. La Cour constate que cela a été fait à bon droit. En effet, les experts ont considéré que l’ancien poste de travail devait être aménagé pour s’assurer que la seule limitation fonctionnelle non respectée le soit, à savoir les mouvements en porte-à- faux. On ne peut dès lors pas considérer sans autre que la pleine capacité de travail</w:t>
      </w:r>
    </w:p>
    <w:p>
      <w:r>
        <w:t>A/3657/2013 - 34/35 - retenue puisse être réalisée dans l’ancienne activité. Il fallait ainsi prendre en considération une autre activité comme adaptée.</w:t>
      </w:r>
    </w:p>
    <w:p>
      <w:r>
        <w:t>L’OAI a également fait un calcul sur la base d’un dernier salaire annuel 2007 de quelques centaines de francs supérieur à celui qui ressort des documents remis par l’ancien employeur.</w:t>
      </w:r>
    </w:p>
    <w:p>
      <w:r>
        <w:t>Le salaire pris en considération sur la base des statistiques ESS 2006, tableau TA1, ligne TOTAL, activité réalisée par un homme, de niveau 4, réadapté pour 2007 en fonction de l’indice pertinent, correspond à CHF 56'784.- x 102.8 (ISS 2007) – 101.2 (ISS 2006) /102.8, soit à CHF 57'667.80.-. Il s’avère supérieur à celui qui était réalisé au même moment par le recourant, de sorte qu’il est incontestable que le taux d’invalidité qui découle du calcul est nul.</w:t>
      </w:r>
    </w:p>
    <w:p>
      <w:r>
        <w:t>Partant, le recourant n’a droit ni à une rente, ni à des mesures de réadaptation.</w:t>
      </w:r>
    </w:p>
    <w:p>
      <w:r>
        <w:t>Le recours sera dès lors rejeté.</w:t>
      </w:r>
    </w:p>
    <w:p>
      <w:r>
        <w:t>A/3657/2013 - 35/35 - PAR CES MOTIFS, LA CHAMBRE DES ASSURANCES SOCIALES : Statuant A la forme : Déclare le recours recevable. Au fond : Le rejette. Annule la décision du 15 décembre 2008. Met à la charge du recourant un émolument de CHF 200.-. Informe les parties de ce qu’elles peuvent former recours contre le présent arrêt dans un délai de 30 jours dès sa notification auprès du Tribunal fédéral (Schweizerhofquai 6, 6004 Lucerne), par la voie du recours en matière de droit public, conformément aux art. 82 et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 de preuve, doit être joint à l’envoi.</w:t>
      </w:r>
    </w:p>
    <w:p>
      <w:r>
        <w:t>La greffière</w:t>
      </w:r>
    </w:p>
    <w:p>
      <w:r>
        <w:t>Florence SCHMUTZ</w:t>
      </w:r>
    </w:p>
    <w:p>
      <w:r>
        <w:t>La présidente suppléante</w:t>
      </w:r>
    </w:p>
    <w:p>
      <w:r>
        <w:t>Laurence CRUCHON</w:t>
      </w:r>
    </w:p>
    <w:p>
      <w:r>
        <w:t>Une copie conforme du présent arrêt est notifiée aux parties ainsi qu’à l’Office fédéral des assurances sociales par le greffe le</w:t>
      </w:r>
    </w:p>
    <w:p>
      <w:r>
        <w:rPr>
          <w:b/>
        </w:rPr>
        <w:t>E. 9</w:t>
      </w:r>
    </w:p>
    <w:p>
      <w:r>
        <w:t>avril 2001, consid. 1).</w:t>
      </w:r>
    </w:p>
    <w:p>
      <w:r>
        <w:t>A/3657/2013 - 28/35 - Chez les assurés actifs, le degré d’invalidité doit être évalué sur la base d’une comparaison des revenus. Pour cela, le revenu que le recourant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30, consid. 1 ; 104 V 136, consid. 2aet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 jusqu’au moment où la décision est rendue doivent être prises en compte (ATF 129 V 222 et 128 V 174). Pour fixer le revenu sans invalidité, il faut établir ce que le recourant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le recourant a obtenu avant l’atteinte à sa santé, en tenant compte de l’évolution des salaires (ATF 129 V 222, consid. 4.3.1). Quant au revenu d'invalide, il doit être évalué avant tout en fonction de la situation professionnelle concrète de l'intéressé. Lorsque le recourant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75consid. 5b/aa-cc).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