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ATAS/1352/2014 vom 23. Dezember 2014</w:t>
      </w:r>
    </w:p>
    <w:p>
      <w:r>
        <w:t>GE Cour de justice, 2014-12-23, FR</w:t>
      </w:r>
    </w:p>
    <w:p>
      <w:r>
        <w:rPr>
          <w:b/>
        </w:rPr>
        <w:t xml:space="preserve">Quelle: </w:t>
      </w:r>
      <w:r>
        <w:t>https://mcp.opencaselaw.ch/entscheid/ge_gerichte_ATAS_1352_2014</w:t>
      </w:r>
    </w:p>
    <w:p>
      <w:r>
        <w:t>FR: GE_GERICHTE ATAS/1352/2014 du 23 décembre 2014</w:t>
      </w:r>
    </w:p>
    <w:p>
      <w:r>
        <w:t>IT: GE_GERICHTE ATAS/1352/2014 del 23 dicembre 2014</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complémentaires cantonales, l’art. 43 LPCC ouvre les mêmes voies de droit. c) En l’espèce, le recours a été déposé dans les forme et délai imposés par la loi, de sorte qu’il est recevable.</w:t>
      </w:r>
    </w:p>
    <w:p>
      <w:r>
        <w:rPr>
          <w:b/>
        </w:rPr>
        <w:t>E. 3</w:t>
      </w:r>
    </w:p>
    <w:p>
      <w:r>
        <w:t>Est litigieuse la question de savoir si le recourant peut bénéficier d'une remise de l'obligation de restituer les prestations qui lui ont été allouées à tort.</w:t>
      </w:r>
    </w:p>
    <w:p>
      <w:r>
        <w:rPr>
          <w:b/>
        </w:rPr>
        <w:t>E. 4</w:t>
      </w:r>
    </w:p>
    <w:p>
      <w:r>
        <w:t>a) Aux termes des art. 25 al. 1 LPGA (s’agissant des prestations fédérales) et 24 al. 1 LPCC (s’agissant des prestations cantonales), les prestations indûment touchées doivent être restituées.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w:t>
      </w:r>
    </w:p>
    <w:p>
      <w:r>
        <w:t>A/2121/2014 - 6/8 -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art. 11 LPCC).</w:t>
      </w:r>
    </w:p>
    <w:p>
      <w:r>
        <w:rPr>
          <w:b/>
        </w:rPr>
        <w:t>E. 5</w:t>
      </w:r>
    </w:p>
    <w:p>
      <w:r>
        <w:t>En l'espèce, il a établi et non contesté que le recourant n’a jamais informé l'intimé de son partenariat enregistré. Il l’admet, expliquant qu’il escomptait que l’information se fasse automatiquement entre administrations. Il n’en demeure pas moins que l’attention du recourant avait été attirée à de multiples reprises sur son obligation de renseigner. Il aurait également dû constater, à la lecture des décisions qui lui sont parvenues suite à son partenariat, qu’il n’était fait aucune mention de son compagnon et vérifier auprès de l’intimé qu’il n’y avait pas là une erreur. Force est donc de constater qu’au vu des circonstances, les conditions permettant de reconnaître la bonne foi du recourant au sens juridique du terme ne sont pas remplies, le recourant ayant tus des faits alors que la nécessité d’annoncer un changement survenu était évidente au vu des rappels réguliers de l’intimé. La Cour de céans, dans son arrêt du 29 octobre 2013 (consid. 6b) a déjà rappelé que le registre d’état civil, dans lequel a été inscrit le partenariat du recourant, la base de données de l’OCP ou encore la base de données informatiques de l’ADMINISTRATION FISCALE CANTONALE (AFC) ne peuvent être assimilés</w:t>
      </w:r>
    </w:p>
    <w:p>
      <w:r>
        <w:t>A/2121/2014 - 7/8 - à un registre public tel que le registre foncier ou le registre du commerce et qu’on ne peut considérer que l’intimé serait réputé avoir connaissance d'emblée du partenariat du recourant. Pour le surplus, dans la mesure où le recourant impute ce défaut d’action à la fiduciaire qui le représentait, son grief est vain, dès lors que la faute du mandataire est imputable à la partie elle-même (cf. arrêt 6B_881/2008 du 31 janvier 2009 consid. 3.1 ainsi que 1P.829/2005 du 1er mai 2006 consid. 3.3 publié in SJ 2006 I p. 449).</w:t>
      </w:r>
    </w:p>
    <w:p>
      <w:r>
        <w:rPr>
          <w:b/>
        </w:rPr>
        <w:t>E. 6</w:t>
      </w:r>
    </w:p>
    <w:p>
      <w:r>
        <w:t>Pour le reste, le recourant revient sur des points relatifs au fond du litige (prise en compte d’un gain potentiel, valeur du bien immobilier) ayant d’ores et déjà été tranchés par la Cour de céans dans son arrêt précédent, entré en force, de sorte qu’il n’y a pas lieu d’y revenir ici.</w:t>
      </w:r>
    </w:p>
    <w:p>
      <w:r>
        <w:rPr>
          <w:b/>
        </w:rPr>
        <w:t>E. 7</w:t>
      </w:r>
    </w:p>
    <w:p>
      <w:r>
        <w:t>Il suit de tout ce qui précède que le recourant ne peut exciper, dans le cas d’espèce, de sa bonne foi. Partant, il est superfétatoire d’examiner si la condition de la charge trop lourde est réalisée. En conséquence, le recours est rejeté.</w:t>
      </w:r>
    </w:p>
    <w:p>
      <w:r>
        <w:t>A/2121/2014 - 8/8 -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