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ATAS/1351/2014 vom 23. Dezember 2014</w:t>
      </w:r>
    </w:p>
    <w:p>
      <w:r>
        <w:t>GE Cour de justice, 2014-12-23, FR</w:t>
      </w:r>
    </w:p>
    <w:p>
      <w:r>
        <w:rPr>
          <w:b/>
        </w:rPr>
        <w:t xml:space="preserve">Quelle: </w:t>
      </w:r>
      <w:r>
        <w:t>https://mcp.opencaselaw.ch/entscheid/ge_gerichte_ATAS_1351_2014</w:t>
      </w:r>
    </w:p>
    <w:p>
      <w:r>
        <w:t>FR: GE_GERICHTE ATAS/1351/2014 du 23 décembre 2014</w:t>
      </w:r>
    </w:p>
    <w:p>
      <w:r>
        <w:t>IT: GE_GERICHTE ATAS/1351/2014 del 23 dicembre 2014</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depuis le 1er janvier 2011, sur les contestations prévues à l'art. 38A de la loi cantonale sur les allocations familiales du 1er mars 1996 (LAF - J 5 10 ). Sa compétence pour juger du cas d’espèce est ainsi établie.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t>A/1904/2014 - 6/10 -</w:t>
      </w:r>
    </w:p>
    <w:p>
      <w:r>
        <w:rPr>
          <w:b/>
        </w:rPr>
        <w:t>E. 3</w:t>
      </w:r>
    </w:p>
    <w:p>
      <w:r>
        <w:t>Interjeté dans les délai et forme prescrits par la loi, le recours est recevable (art. 56ss LPGA ; 38A LAF).</w:t>
      </w:r>
    </w:p>
    <w:p>
      <w:r>
        <w:rPr>
          <w:b/>
        </w:rPr>
        <w:t>E. 4</w:t>
      </w:r>
    </w:p>
    <w:p>
      <w:r>
        <w:t>Le litige porte sur le droit de la recourante à l’allocation de formation professionnelle pour sa fille B______ de mars à août 2014, en particulier afin de déterminer si les différents stages suivis par B______ durant cette période remplissent les conditions d’une formation donnant droit à une telle allocation. Se pose également la question du bien-fondé de la demande en restitution de l’allocation versée en mars 2014.</w:t>
      </w:r>
    </w:p>
    <w:p>
      <w:r>
        <w:rPr>
          <w:b/>
        </w:rPr>
        <w:t>E. 5</w:t>
      </w:r>
    </w:p>
    <w:p>
      <w:r>
        <w:t>L’art. 3 al. 1 let. b LAFam dispose que les allocations familiales comprennent l'allocation de formation professionnelle; celle-ci est octroyée à partir du mois qui suit celui au cours duquel l'enfant atteint l'âge de 16 ans, jusqu'à la fin de sa formation, mais au plus tard jusqu'à la fin du mois au cours duquel il atteint l'âge de 25 ans. Une réglementation similaire ressort du droit cantonal (cf. art. 7a LAF).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25 al. 5 LAVS auquel il est renvoyé s’adresse lui aussi aux enfants accomplissant une formation et précise que le Conseil fédéral peut définir cette notion. Le Conseil fédéral a fait usage de cette délégation en édictant les articles 49bis et 49ter du règlement sur l’assurance-vieillesse et survivants (RAVS ; RS 831.101),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w:t>
      </w:r>
    </w:p>
    <w:p>
      <w:r>
        <w:t>A/1904/2014 - 7/10 - Le commentaire des modifications du RAVS au 1er janvier 2011, publié sur le site de l’Office des assurances sociales (http://www.bsv.admin.ch/themen /ahv/00016/index.html?lang=fr), précise au sujet du nouvel art. 49bis RAVS qu’il s’agit-là de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La jurisprudence et la pratique administrative ont ainsi développé des principes qui ont trouvé leur assise au sein des directives sur les rentes de l’OFAS (DR).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en vaquant parallèlement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Pour ce qui est de l’art. 49bis al. 2 RAVS, il est indiqué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sont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(1 à 2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 Selon les DR, valables au 1er janvier 2013, la formation doit durer 4 semaines au moins et tendre systématiquement à l’acquisition de connaissances. Elle doit obéir à un plan de formation structuré reconnu de jure ou à tout le moins de facto. Par</w:t>
      </w:r>
    </w:p>
    <w:p>
      <w:r>
        <w:t>A/1904/2014 - 8/10 -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Un stage pratique est assimilé à une formation si son accomplissement est une condition indispensable pour poursuivre une formation donnée ou passer un examen, ou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 DR n°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Les enfants qui s’engagent au pair dans une région de langue étrangère ou qui y accomplissent un stage linguistique sont considérés comme étant en formation professionnelle dans la mesure où les cours suivis portent sur 4 leçons au moins (de 45 à 60 minutes) par semaine (DR n° 3364). Il y a enfin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w:t>
      </w:r>
    </w:p>
    <w:p>
      <w:r>
        <w:rPr>
          <w:b/>
        </w:rPr>
        <w:t>E. 6</w:t>
      </w:r>
    </w:p>
    <w:p>
      <w:r>
        <w:t>En l’espèce, il convient donc d’examiner si les stages effectués par B______ depuis mars 2014 peuvent être assimilés à une formation au sens de l’art. 25 al. 4 LAVS. B______ a expliqué que le stage accompli d’octobre 2013 à avril 2014, à 40%, pour C______, association visant la réintégration des jeunes en rupture, a consisté à suivre le groupe d’intervenants socio-professionnels, évaluer le programme de</w:t>
      </w:r>
    </w:p>
    <w:p>
      <w:r>
        <w:t>A/1904/2014 - 9/10 - réintégration, développer une stratégie d’évaluation qualitative, procéder à des sondages, analyser leurs résultats et les consigner dans un rapport. Force est de constater qu’un tel stage, s’il n’est pas contesté qu’il soit très enrichissant, n’avait pas un but de formation précis en ce sens que l’exigence relative à la préparation systématique à un objectif de formation ne paraît pas réalisée en l’espèce. Il n’y avait pas de programme de formation lié à ce stage. Ce n’est d’ailleurs qu’au fil de ce stage que B______ a développé un intérêt pour ce domaine et s’est mise à la recherche d’une formation stricto sensu. Il en va de même du second stage effectué auprès de l’association D______. Là encore, l’exigence relative à la préparation systématique à un objectif de formation n’est pas réalisée, ce que tend également à corroborer la durée indéterminée du stage, auquel l’intéressée a mis un terme lorsque ses démarches visant à être admise au master ont abouti. Il en découle que si les stages effectués par l’intéressée ont sans nul doute constitué un sérieux atout pour l’admission de B______ au master auquel elle aspirait, il ne s’agissait pas d’une condition sine qua non d’accès à cette formation. Le fait qu’entre plusieurs candidats aux qualifications pour le reste équivalentes, le choix se porte de préférence sur celui qui a pu acquérir certaines connaissances pratiques ne suffit pas à considérer qu’il s’agit là d’une formation obligatoire en pratique (cf. ATAS/1190/2013). Quant à l’inscription à l’université d’été, elle n’atteint malheureusement pas la durée minimale de 4 semaines requises par la pratique. Eu égard à ces éléments, la position de l’intimée, consistant à nier le droit à l’allocation de formation professionnelle jusqu’en août 2014, ne peut donc qu’être confirmée même si les efforts de B______ pour se réorienter et retrouver une formation correspondant à ses aspirations doivent être loués. Il en découle que c’est à juste titre que la restitution du montant de CHF 400.- versé en mars 2014 a été réclamée (art. 25 LPGA), étant précisé que l’intéressée pourra demander la remise de l’obligation de restituer - si elle estime en remplir les conditions (bonne foi et situation financière difficile) -, une fois la décision en restitution en force. Au vu de ce qui précède, le recours ne peut qu’être rejeté.</w:t>
      </w:r>
    </w:p>
    <w:p>
      <w:r>
        <w:t>A/1904/2014 - 10/10 -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