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ATAS/1351/2012 vom 7. November 2012</w:t>
      </w:r>
    </w:p>
    <w:p>
      <w:r>
        <w:t>GE Cour de justice, 2012-11-07, FR</w:t>
      </w:r>
    </w:p>
    <w:p>
      <w:r>
        <w:rPr>
          <w:b/>
        </w:rPr>
        <w:t xml:space="preserve">Quelle: </w:t>
      </w:r>
      <w:r>
        <w:t>https://mcp.opencaselaw.ch/entscheid/ge_gerichte_ATAS_1351_2012</w:t>
      </w:r>
    </w:p>
    <w:p>
      <w:r>
        <w:t>FR: GE_GERICHTE ATAS/1351/2012 du 7 novembre 2012</w:t>
      </w:r>
    </w:p>
    <w:p>
      <w:r>
        <w:t>IT: GE_GERICHTE ATAS/1351/2012 del 7 novembre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les délai et forme prescrits par la loi, le recours est recevable (art. 56 ss LPGA).</w:t>
      </w:r>
    </w:p>
    <w:p>
      <w:r>
        <w:t>A/2998/2011 - 14/22 -</w:t>
      </w:r>
    </w:p>
    <w:p>
      <w:r>
        <w:rPr>
          <w:b/>
        </w:rPr>
        <w:t>E. 3</w:t>
      </w:r>
    </w:p>
    <w:p>
      <w:r>
        <w:t>Est litigieuse la question de savoir si l’intimé était en droit de supprimer le droit à la rente de la recourante rétroactivement au 31 décembre 2008 et, cas échéant, de mettre fin aux mesures professionnelles.</w:t>
      </w:r>
    </w:p>
    <w:p>
      <w:r>
        <w:rPr>
          <w:b/>
        </w:rPr>
        <w:t>E. 4</w:t>
      </w:r>
    </w:p>
    <w:p>
      <w:r>
        <w:t>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5</w:t>
      </w:r>
    </w:p>
    <w:p>
      <w:r>
        <w:t>Selon la jurisprudence du Tribunal fédéral, la mise en œuvre de mesures d'instruction ou de réadaptation et le versement d'une indemnité journalière n'entraînent pas l'extinction du droit à la rente d'invalidité allouée précédemment à l'assuré (Arrêt du Tribunal fédéral des assurances I 360/02 du 30 avril 2003 consid. 3). En vertu de l'art. 47 al. 1 LAI, son versement n'est que suspendu, dès le troisième mois civil après le début de la mesure d'instruction ou de réadaptation et</w:t>
      </w:r>
    </w:p>
    <w:p>
      <w:r>
        <w:t>A/2998/2011 - 15/22 - jusqu'à ce que celle-ci prenne fin. Par la suite, il appartient à l'administration d'examiner si les conditions d'une révision du droit à la rente sont réunies et, le cas échéant, d'augmenter, de réduire ou de supprimer la rente allouée initialement à l'assuré (VSI 1998 p. 184 sv. consid. 2). Il sied toutefois de rappeler que la rente peut être révisée non seulement en cas de modification sensible de l'état de santé, mais aussi lorsque celui-ci est resté en soi le même, mais que ses conséquences sur la capacité de gain ont subi un changement important (ATF 113 V 275 consid. 1a). Tel pourra notamment être le cas si la personne assurée a suivi avec succès une mesure de reclassement professionnel (ATF 122 V 78 consid. 2b).</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(art. 28 al. 2 LAI).</w:t>
      </w:r>
    </w:p>
    <w:p>
      <w:r>
        <w:rPr>
          <w:b/>
        </w:rPr>
        <w:t>E. 8</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w:t>
      </w:r>
    </w:p>
    <w:p>
      <w:r>
        <w:t>A/2998/2011 - 16/22 -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w:t>
      </w:r>
    </w:p>
    <w:p>
      <w:r>
        <w:rPr>
          <w:b/>
        </w:rPr>
        <w:t>E. 9</w:t>
      </w:r>
    </w:p>
    <w:p>
      <w:r>
        <w:t>La reconnaissance de l'existence de troubles somatoformes douloureux persistants suppose d'abord la présence d'un diagnostic émanant d'un expert (psychiatre) et s'appuyant lege artis sur les critères d'un système de classification reconnu (ATF 130 V 396,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les principes jurisprudentiels développés en matière de troubles somatoformes douloureux sont également applicables à la fibromyalgie (ATF 132 V 65, consid. 4.1).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 constituer une telle comorbidité un état dépressif majeur (ATF 135 V 65, consid. 4.2.2; ATF non publié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w:t>
      </w:r>
    </w:p>
    <w:p>
      <w:r>
        <w:t>A/2998/2011 - 17/22 -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(ATFA non publié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(ATFA non publié I 497/04 du</w:t>
      </w:r>
    </w:p>
    <w:p>
      <w:r>
        <w:rPr>
          <w:b/>
        </w:rPr>
        <w:t>E. 12</w:t>
      </w:r>
    </w:p>
    <w:p>
      <w:r>
        <w:t>Se pose dès lors la question de savoir si les conditions d’une révision matérielle étaient réunies au moment de la décision querellée, justifiant la suppression de la rente pour l'avenir.</w:t>
      </w:r>
    </w:p>
    <w:p>
      <w:r>
        <w:t>La rente d’invalidité entière a été octroyée au départ à la recourante sur la base de l’expertise du 11 août 2001 du Prof. L________. Celui-ci a posé les diagnostics d’épisode dépressif sévère, sans symptôme psychotique, et d’antécédents personnels d’autres maladies ou affections, ainsi que d’antécédents personnels de malformations congénitales et d'anomalies chromosiques. L'incapacité de travail de la recourante était totale, de l'avis du Prof. L________, et elle ne pourrait pas s’adapter à son environnement professionnel. Une composante endogène de l’état dépressif n’était pas exclue. Parmi les facteurs exogènes impliqués, l’expert a mentionné le fait que l'assurance-invalidité n'avait pas immédiatement accédé à la demande d’invalidité de la recourante, en dépit de la gravité de son handicap congénital, des traitements pénibles qu’elle avait subis et de ses efforts pour ne pas réclamer des prestations avant sa vingtième année. La recourante présentait aussi une obésité qui pourrait influer sur l’acuité des douleurs, mais ne semblait pas s’accompagner d’un trouble évident des conduites alimentaires. L’état dépressif ne semblait pas être seulement réactionnel aux problèmes physiques. Au test Beck, son état thymique se situait dans la zone de dépression sévère. Ce test était confirmé par l’échelle de dépression de J.B. Carroll. Il ressort également de cette expertise que la recourante se plaignait beaucoup de douleurs. Elle affirmait ne pouvoir effectuer les tâches ménagères que lentement et difficilement, en les entrecoupant de fréquentes pauses. Elle se sentait vite fatiguée. Selon l’échelle du comportement douloureux de F. Boureau, la douleur avait notamment des conséquences majeures sur la fatigue, la distance de marche, le travail quotidien, les activités professionnelles, les relations avec les amis, le temps de loisirs et la sexualité. Dans le questionnaire de la douleur de Saint-Antoine (QDSA), la recourante avait décrit les douleurs comme étant éreintantes, angoissantes, torturantes, insupportables, horripilantes, déprimantes et portant à la nausée.</w:t>
      </w:r>
    </w:p>
    <w:p>
      <w:r>
        <w:t>De l’expertise judiciaire de septembre 2012, il résulte que la recourante se plaint spontanément de douleurs et de trous de mémoire, ainsi que de fatigue et d’une atteinte du moral. Elle déclare que ce sont essentiellement les douleurs qui la rendent incapable d’assumer les exigences d’une activité professionnelle régulière, ces douleurs touchant notamment les hanches et les genoux, le bras gauche, le dos, la nuque et la tête. Elle dit avoir eu des périodes de dépression depuis une dizaine d’années en relation avec la problématique physique douloureuse. A part une fibromyalgie ressortant du dossier, l’expert a diagnostiqué un trouble dépressif récurrent, épisode actuel moyen à sévère avec syndrome somatique. Dans les constatations objectives, il a relevé que l’apparence de la recourante était négligée, qu’elle était obèse et avait un comportement douloureux, changeant souvent de position sur son siège, demandant à se lever plusieurs fois en cours d’examen, et se massant quelques fois le bras gauche. Elle paraissait authentique dans l’expression</w:t>
      </w:r>
    </w:p>
    <w:p>
      <w:r>
        <w:t>A/2998/2011 - 20/22 - de ses plaintes, sans exagération. L'expert n'a pas mis en évidence des troubles cognitifs. Lors du premier entretien, l’humeur était sévèrement abaissée, la recourante paraissant très triste et pleurant souvent. Le ralentissement était très prononcé (visage peu mobile, peu de mouvements spontanés, démarche lente, débit lent et monotone et répétition de thèmes négatifs). Lors du second entretien, six semaines plus tard, l’humeur était améliorée, mais le ralentissement était toujours présent sur les modes moteur, vocal et idéique. La recourante a exprimé dans ces entretiens de la culpabilité, mais avait également un comportement revendicatif, se plaignant de ne pas avoir reçu de vraie formation professionnelle durant son stage de réadaptation et que la rente d’invalidité lui avait été supprimée. Selon l’expert judiciaire, la capacité de travail de la recourante est de 40 %. A la question de savoir si l’état de santé de la recourante s'était amélioré depuis l’expertise du Prof. L________, il a répondu qu’à partir de novembre 2006, date de l’expertise du Dr N________, il y avait une rémission du trouble dépressif et une capacité de travail entière. Une aggravation s’était ensuite produite en mars 2011. L'expert judiciaire a estimé que l’état de santé de la recourante ne s'était pas amélioré depuis l’expertise du Prof. L________, hormis la rémission entre 2006 et 2011, dès lors que la description qu'avait donné le premier expert permettait de constater que l’état clinique était assez proche de celui qui était constaté actuellement, voire même moins sévère, les signes objectifs de la dépression relatés ayant été discrets à l’époque de cette première expertise.</w:t>
      </w:r>
    </w:p>
    <w:p>
      <w:r>
        <w:t>L’expertise judiciaire remplit en principe tous les critères jurisprudentiels précités pour lui reconnaître une pleine valeur probante. En effet, elle a été établie en pleine connaissance du dossier, prend en considération les plaintes de l’expertisée et est fondée sur un examen approfondi. Ses conclusions sont enfin étayées et convaincantes.</w:t>
      </w:r>
    </w:p>
    <w:p>
      <w:r>
        <w:t>Au vu de cette expertise judiciaire, il ne peut être considéré, à la date de la décision querellée, que l’état de santé de la recourante se soit amélioré, dès lors que le trouble dépressif s’est aggravé à partir de mars 2011, après une amélioration pendant quelques années.</w:t>
      </w:r>
    </w:p>
    <w:p>
      <w:r>
        <w:rPr>
          <w:b/>
        </w:rPr>
        <w:t>E. 13</w:t>
      </w:r>
    </w:p>
    <w:p>
      <w:r>
        <w:t>Il sied également d'examiner si les conséquences sur la capacité de gain ont subi un changement important, suite aux mesures de réadaptation professionnelle dont la recourante a bénéficié. Toutefois, cette question peut rester ouverte, dans la mesure où, même en admettant que la recourante ait pu améliorer sa capacité de gain, il appert qu'elle subirait une perte de gain supérieure à 70 %, compte tenu de sa capacité de travail réduite de 40%. En effet, en se fondant sur la comparaison des gains effectuée par l'intimé le 5 avril 2011 (doc. 152), son salaire avec invalidité aurait été à 100% de 59'785 fr., ce qui</w:t>
      </w:r>
    </w:p>
    <w:p>
      <w:r>
        <w:t>A/2998/2011 - 21/22 - correspond pour un taux d'activité de 40% à 23'914 fr. Comparé à un gain sans invalidité de 86'207 fr., sa perte de gain est de 72%, ce qui ouvre le droit à une rente entière.</w:t>
      </w:r>
    </w:p>
    <w:p>
      <w:r>
        <w:rPr>
          <w:b/>
        </w:rPr>
        <w:t>E. 14</w:t>
      </w:r>
    </w:p>
    <w:p>
      <w:r>
        <w:t>S'agissant d'un trouble dépressif lié à une symptomatologie douloureuse chronique, on pourrait se demander si ces pathologies remplissent les critères jurisprudentiels établis par la jurisprudence pour leur reconnaître un caractère invalidant. Toutefois, ces critères n'ont été élaborés qu'après la décision initiale en 2001 et un changement de jurisprudence n’est pas un motif de révision au sens de l’art. 17 LPGA. En droit des assurances sociales, un changement de jurisprudence ne peut qu’exceptionnellement conduire à la révocation d’une décision, même si cette décision est assortie d’effets durables (notamment si elle concerne des prestations périodiques). Il faut que la nouvelle jurisprudence ait une telle portée générale qu’il serait contraire au droit à l’égalité de ne pas l’appliquer dans tous les cas, en particulier en maintenant une ancienne décision pour un seul assuré ou un petit nombre d’assurés. Si cette condition est remplie, la modification n’aura, en règle ordinaire, des effets que pour l’avenir. Cette pratique restrictive vaut en tout cas lorsque l’application d’une jurisprudence nouvelle s’opérerait au détriment du justiciable (cf. ATF 129 V 200 consid. 1.2).</w:t>
      </w:r>
    </w:p>
    <w:p>
      <w:r>
        <w:t>En outre, la sixième révision de l’assurance-invalidité, qui permet de réviser certaines rentes même si les conditions de l'art. 17 al. 1 LPGA ne sont pas réunies, n’est entrée en vigueur que le 1er janvier 2012 et n’était donc pas encore applicable au moment de la décision dont est présentement recours.</w:t>
      </w:r>
    </w:p>
    <w:p>
      <w:r>
        <w:rPr>
          <w:b/>
        </w:rPr>
        <w:t>E. 15</w:t>
      </w:r>
    </w:p>
    <w:p>
      <w:r>
        <w:t>Cela étant, le recours doit être admis et la décision du 1er septembre 2011 annulée. Il sera par ailleurs constaté que la recourante continue à avoir droit à une rente d’invalidité entière dès la fin des mesures professionnelles.</w:t>
      </w:r>
    </w:p>
    <w:p>
      <w:r>
        <w:rPr>
          <w:b/>
        </w:rPr>
        <w:t>E. 16</w:t>
      </w:r>
    </w:p>
    <w:p>
      <w:r>
        <w:t>Dans la mesure où la recourante obtient gain de cause, une indemnité de 3'000 fr. lui est octroyée à titre de dépens.</w:t>
      </w:r>
    </w:p>
    <w:p>
      <w:r>
        <w:rPr>
          <w:b/>
        </w:rPr>
        <w:t>E. 17</w:t>
      </w:r>
    </w:p>
    <w:p>
      <w:r>
        <w:t>L’émolument de justice, fixé à 800 fr., est mis à la charge de l’intimé.</w:t>
      </w:r>
    </w:p>
    <w:p>
      <w:r>
        <w:t>A/2998/2011 - 22/22 -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