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ATAS/1350/2021 vom 23. Dezember 2021</w:t>
      </w:r>
    </w:p>
    <w:p>
      <w:r>
        <w:t>GE Cour de justice, 2021-12-23, FR</w:t>
      </w:r>
    </w:p>
    <w:p>
      <w:r>
        <w:rPr>
          <w:b/>
        </w:rPr>
        <w:t xml:space="preserve">Quelle: </w:t>
      </w:r>
      <w:r>
        <w:t>https://mcp.opencaselaw.ch/entscheid/ge_gerichte_ATAS_1350_2021</w:t>
      </w:r>
    </w:p>
    <w:p>
      <w:r>
        <w:t>FR: GE_GERICHTE ATAS/1350/2021 du 23 décembre 2021</w:t>
      </w:r>
    </w:p>
    <w:p>
      <w:r>
        <w:t>IT: GE_GERICHTE ATAS/1350/2021 del 23 dicembre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formes et les délais légaux, le recours est recevable (art. 56 al. 1 et 60 LPGA ; art. 43 LPCC).</w:t>
      </w:r>
    </w:p>
    <w:p>
      <w:r>
        <w:rPr>
          <w:b/>
        </w:rPr>
        <w:t>E. 3</w:t>
      </w:r>
    </w:p>
    <w:p>
      <w:r>
        <w:t>Le litige porte sur le montant dû à l'assurée au titre de prestations complémentaires depuis novembre 2011, et plus particulièrement, sur le montant de sa fortune retenu par le SPC.</w:t>
      </w:r>
    </w:p>
    <w:p>
      <w:r>
        <w:rPr>
          <w:b/>
        </w:rPr>
        <w:t>E. 4.1</w:t>
      </w:r>
    </w:p>
    <w:p>
      <w:r>
        <w:t>Conformément à l'art. 4 al. 1 let. c LPC, les personnes qui ont leur domicile et leur résidence habituelle (art. 13 LPGA) en Suisse ont droit à des prestations complémentaires dès lors qu'elles ont droit à une rente ou à une allocation pour</w:t>
      </w:r>
    </w:p>
    <w:p>
      <w:r>
        <w:t>A/16/2021 - 4/11 - impotent de l'assurance-invalidité (AI) ou perçoivent des indemnités journalières de l'AI sans interruption pendant six mois au moins.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L'art. 10 LPC énumère de manière exhaustive les dépenses reconnues (arrêt 9C_822/2009 du 7 mai 2010 consid. 3.3 et la référence, in SVR 2011 EL n° 2 p. 5). Pour les personnes ne vivant pas en permanence ou pour une longue période dans un home ou un hôpital, celles-ci comprennent en particulier un montant forfaitaire destiné à la couverture des besoins vitaux (al. 1 let. a). Ce montant inclut, entre autres, les frais de nourriture, d'habillement, de soins corporels de consommation d'énergie (électricité, gaz, etc.), de communication, de transport ou de loisirs (arrêt du Tribunal fédéral 9C_945/2011 du 11 juillet 2012 consid. 5.1 et les références).</w:t>
      </w:r>
    </w:p>
    <w:p>
      <w:r>
        <w:rPr>
          <w:b/>
        </w:rPr>
        <w:t>E. 4.2</w:t>
      </w:r>
    </w:p>
    <w:p>
      <w:r>
        <w:t>Les revenus déterminants sont fixés à l'art. 11 al. 1 LPC. Ils comprennent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conjoints qui n’ont pas droit aux prestations complémentaires, le revenu de l’activité lucrative est pris en compte à hauteur de 80%; pour les personnes invalides ayant droit à une indemnité journalière de l’AI, le revenu de l’activité lucrative est intégralement pris en compte (let. a)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un quinzième de la fortune nette, un dixième pour les bénéficiaires de rentes de vieillesse, dans la mesure où elle dépasse 30’000 francs pour les personnes seules, 50’000 francs pour les couples et 15’000 francs pour les orphelins et les enfants donnant droit à des rentes pour enfant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 les rentes, pensions et autres prestations périodiques, y compris les rentes de l’AVS et de l’AI (let. d); les prestations touchées en vertu d’un contrat d’entretien viager ou de toute autre convention analogue (let. e); les allocations familiales (let. f); les pensions alimentaires prévues par le droit de la famille (let. h ); la réduction des primes accordée pour une période pour laquelle des prestations complémentaires sont</w:t>
      </w:r>
    </w:p>
    <w:p>
      <w:r>
        <w:t>A/16/2021 - 5/11 - attribuées avec effet rétroactif (let. i), selon sa teneur en vigueur jusqu'au 1er janvier 2021.</w:t>
      </w:r>
    </w:p>
    <w:p>
      <w:r>
        <w:rPr>
          <w:b/>
        </w:rPr>
        <w:t>E. 4.3</w:t>
      </w:r>
    </w:p>
    <w:p>
      <w:r>
        <w:t>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3ème éd. 2015, n. 330 ad art. 11 LPC), Ralph JÖHL, Patricia USINGER-EGGER, Ergänzungsleistungen zur AHV/IV, in SBVR, 3ème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op.cit. p. 1844 n. 163) ou encore les prêts accordés (Erwin CARIGIET, Uwe KOCH, Ergänzungsleistungen zur AHV/IV, 2ème éd. 2009 p. 163). L’origine des éléments de fortune n’importe pas (Directives concernant les prestations complémentaires à l’AVS et à l’AI, état au 1er janvier 2015 [ci-après : DPC], ch. 3443.01). Quant au capital de prévoyance professionnelle, il représente également un élément de fortune.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Les directives de l’Office fédéral des assurances sociales concernant les prestations complémentaires à l’AVS et à l’AI (ci-après : DPC) indiquent à ce propos que les capitaux inhérents aux 2ème et 3ème piliers sont à prendre en compte dès le moment où l’assuré a la possibilité de les retirer (ch. 3443.03), et que la fortune qui est investie sur la base de l’OPP 3 (soit l’ordonnance sur les déductions admises fiscalement pour les cotisations versées à des formes reconnues de prévoyance du 13 novembre 1985 – RS 831.461.3) n’a pas à être prise en considération aussi longtemps qu’il n’est pas possible de verser la prestation de prévoyance. Selon l’art. 16 OLP, les prestations de vieillesse dues en vertu des polices et des comptes de libre passage peuvent être versées au plus tôt cinq ans avant que l’assuré n’atteigne l’âge ordinaire de la retraite visé à l’art. 13 al. 1 LPP et au plus</w:t>
      </w:r>
    </w:p>
    <w:p>
      <w:r>
        <w:t>A/16/2021 - 6/11 - tard cinq ans après (al. 1) ; si l’assuré perçoit une rente entière d’invalidité de l’assurance fédérale et si le risque d’invalidité n’est pas assuré à titre complémentaire au sens de l’art. 10 al. 2 et 3 phr. 2, la prestation de vieillesse lui est versée plus tôt, sur sa demande (al. 2 ; arrêt du Tribunal fédéral 9C_612/2012 du 28 novembre 2012 consid. 3.3 ; arrêt du Tribunal fédéral des assurances P 56/05 du 29 mai 2006 consid. 3). Le capital de prévoyance professionnelle représente également un élément de fortune.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Les directives de l’Office fédéral des assurances sociales concernant les prestations complémentaires à l’AVS et à l’AI (ci-après : DPC) indiquent à ce propos que les capitaux inhérents aux 2ème et 3ème piliers sont à prendre en compte dès le moment où l’assuré a la possibilité de les retirer (ch. 3443.03), et que la fortune qui est investie sur la base de l’OPP 3 (soit l’ordonnance sur les déductions admises fiscalement pour les cotisations versées à des formes reconnues de prévoyance du 13 novembre 1985 – RS 831.461.3) n’a pas à être prise en considération aussi longtemps qu’il n’est pas possible de verser la prestation de prévoyance. Selon l’art. 16 OLP, les prestations de vieillesse dues en vertu des polices et des comptes de libre passage peuvent être versées au plus tôt cinq ans avant que l’assuré n’atteigne l’âge ordinaire de la retraite visé à l’art. 13 al. 1 LPP et au plus tard cinq ans après (al. 1) ; si l’assuré perçoit une rente entière d’invalidité de l’assurance fédérale et si le risque d’invalidité n’est pas assuré à titre complémentaire au sens de l’art. 10 al. 2 et 3 phr. 2, la prestation de vieillesse lui est versée plus tôt, sur sa demande (al. 2 ; arrêt du Tribunal fédéral 9C_612/2012 du 28 novembre 2012 consid. 3.3 ; arrêt du Tribunal fédéral des assurances P 56/05 du 29 mai 2006 consid. 3).</w:t>
      </w:r>
    </w:p>
    <w:p>
      <w:r>
        <w:rPr>
          <w:b/>
        </w:rPr>
        <w:t>E. 4.4</w:t>
      </w:r>
    </w:p>
    <w:p>
      <w:r>
        <w:t>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w:t>
      </w:r>
    </w:p>
    <w:p>
      <w:r>
        <w:t>A/16/2021 - 7/11 - prestation complémentaire annuelle (al. 1). En principe le montant du loyer est réparti à parts égales entre toutes les personnes (al. 2). L'art. 16c al. 1 OPC-AVS/AI dont la légalité n'est pas contestable (ATF 127 V 10),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Dans ces circonstances, le dépôt de papiers ou le domicile fiscal, comme indices formels, ne peuvent créer qu'une présomption de fait que d'autres indices peuvent permettre de renverser (ATFA non publié 9C_807/2009 du 24 mars 2010, consid. 3.4). Selon la jurisprudence, le critère déterminant est le logement commun, indépendamment du fait de savoir s'il y a bail commun ou si l'un des occupants paie seul le loyer (ATF 127 V 10 consid. 6b). Aussi, lorsque plusieurs personnes occupent le même foyer ou font ménage commun, il y a lieu à partage à parts égales du loyer qui est pris en compte dans le calcul des prestations complémentaires (ATF non publié P 66/04 du 16 août 2005, consid. 2 ; ATAS/620/2018 du 29 juin 2018 consid. 6).</w:t>
      </w:r>
    </w:p>
    <w:p>
      <w:r>
        <w:rPr>
          <w:b/>
        </w:rPr>
        <w:t>E. 4.5</w:t>
      </w:r>
    </w:p>
    <w:p>
      <w:r>
        <w:t>Selon l’art. 23 al. 1 OPC-AVS/AI, « sont pris en compte en règle générale pour le calcul de la prestation complémentaire annuelle, les revenus déterminants obtenus au cours de l’année civile précédente et l’état de la fortune le 1er janvier de l’année pour laquelle la prestation est servie ». Lorsqu’une personne dépose une nouvelle demande de PC, le montant de la fortune déterminant pour savoir si le montant admissible est dépassé est celui qui existe le premier jour du mois à partir duquel le droit à la PC prend naissance (DPC ch. 2511.02).</w:t>
      </w:r>
    </w:p>
    <w:p>
      <w:r>
        <w:rPr>
          <w:b/>
        </w:rPr>
        <w:t>E. 5</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w:t>
      </w:r>
    </w:p>
    <w:p>
      <w:r>
        <w:t>A/16/2021 - 8/11 - Conformément à l’art. 7 LPCC, la fortune comprend la fortune mobilière et immobilière définie par la LPC et ses dispositions d’exécution (al. 1), cette fortune devant être évaluée selon les règles de la loi sur l’imposition des personnes physiques du 27 septembre 2009 (LIPP – D 3 08)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Ni la LPCC ni le règlement relatif aux prestations cantonales complémentaires à l'assurance-vieillesse et survivants et à l’assurance-invalidité du 25 juin 1999 (RPCC-AVS/AI - J 4 25.03) ne prévoient des règles concernant la situation où des appartements ou des maisons familiales sont non seulement occupés par les bénéficiaires mais aussi par des personnes non comprises dans le calcul des PC. Par renvoi de l’art. 1A al. 1 LPCC, l’art. 16c OPC-AVS/AI s’applique donc. En application de l’art. 9 al. 1 LPCC, sont déterminantes pour la fixation de la prestation, les rentes de l’année civile en cours (let. a) ; la fortune au 1er janvier de l’année pour laquelle la prestation est demandée (let. b).</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7.1</w:t>
      </w:r>
    </w:p>
    <w:p>
      <w:r>
        <w:t>L’assurée considère que le SPC n’a pas produit la totalité des pièces de son dossier, depuis 2010 y compris.</w:t>
      </w:r>
    </w:p>
    <w:p>
      <w:r>
        <w:rPr>
          <w:b/>
        </w:rPr>
        <w:t>E. 7.2</w:t>
      </w:r>
    </w:p>
    <w:p>
      <w:r>
        <w:t>Le SPC a toutefois indiqué que, hormis la rubrique liée aux frais médicaux, le dossier transmis à la chambre de céans était complet. Il apparaît en effet que tel est</w:t>
      </w:r>
    </w:p>
    <w:p>
      <w:r>
        <w:t>A/16/2021 - 9/11 - bien le cas. Aucune violation du droit d'être entendu ne peut dès lors lui être reprochée.</w:t>
      </w:r>
    </w:p>
    <w:p>
      <w:r>
        <w:rPr>
          <w:b/>
        </w:rPr>
        <w:t>E. 8</w:t>
      </w:r>
    </w:p>
    <w:p>
      <w:r>
        <w:t>L'assurée fait valoir que le montant de sa fortune ne dépasse pas la somme de CHF 21'974.20, de sorte qu'il est inférieur au seuil prévu à l'art. 11 al. 1 let. c LPC.</w:t>
      </w:r>
    </w:p>
    <w:p>
      <w:r>
        <w:rPr>
          <w:b/>
        </w:rPr>
        <w:t>E. 8.1</w:t>
      </w:r>
    </w:p>
    <w:p>
      <w:r>
        <w:t>Elle ne comprend à cet égard pas pour quelle raison son capital LPP a été pris en considération par le SPC, alors qu’elle ne l’a pas retiré. Il importe toutefois de rappeler, s'agissant du capital LPP, que selon l'art. 16 al. 2 OLP, si l’assuré perçoit une rente entière d’invalidité de l’assurance fédérale et si le risque d’invalidité n’est pas assuré à titre complémentaire au sens de l’art. 10, al. 2 et 3, deuxième phrase, la prestation de vieillesse lui est versée plus tôt, sur sa demande. Ainsi dès qu'un bénéficiaire de prestations complémentaires se voit reconnaitre le droit à une rente d'invalidité entière, le capital LPP doit être ajouté à sa fortune (ERWIN CARIGIET/UWE KOCH, op. cit., p. 164 ; arrêts P 56/05 du 29 mai 2006 consid. 3 et 9C_612/2012 du 28 novembre 2012). Dès ce moment en effet, il peut le retirer s'il le souhaite. C'est en conséquence à juste titre que le SPC a pris en considération le capital LPP de l’assurée, titulaire d’une rente entière AI, dès décembre 2011, soit le mois qui a suivi la décision de rente AI.</w:t>
      </w:r>
    </w:p>
    <w:p>
      <w:r>
        <w:rPr>
          <w:b/>
        </w:rPr>
        <w:t>E. 8.2</w:t>
      </w:r>
    </w:p>
    <w:p>
      <w:r>
        <w:t>L’assurée reproche au SPC de n’avoir rectifié le montant de sa fortune que pour l’année 2011. Le droit aux prestations complémentaires de l’assurée a été reconnu à compter du 1er novembre 2011. Il s’agit dès lors d’examiner l’état de sa fortune au 1er janvier 2011 (art. 23 al. 1 OPC). Dans sa décision sur opposition du 18 novembre 2020, le SPC a retenu, à juste titre, si l'on se réfère aux documents qui lui ont été transmis le 29 janvier 2019 par l'assurée, pour la période du 1er novembre au 31 décembre 2011, une épargne de CHF 49'749.45, en lieu et place de CHF 99'498.90 selon décision du 29 novembre 2019, et pour l’année 2012, de CHF 43'569.05. Il y a lieu de constater qu'à compter du 1er janvier 2013, la fortune de l’assurée n’a en revanche pas été prise en compte dans le calcul des PC, parce qu'inférieure aux deniers de nécessité (art. 11 al. 1 let. c LPC, teneur en vigueur jusqu'au 31 décembre 2020). Contrairement à ce qui est allégué par l’assurée, le SPC ne s’est ainsi pas borné à rectifier le montant de la fortune pour l’année 2011.</w:t>
      </w:r>
    </w:p>
    <w:p>
      <w:r>
        <w:rPr>
          <w:b/>
        </w:rPr>
        <w:t>E. 8.3.1</w:t>
      </w:r>
    </w:p>
    <w:p>
      <w:r>
        <w:t>Sont compris dans le calcul des prestations complémentaires les enfants donnant droit à une rente pour enfant. Tel est le cas de D______ et E______. Il est vrai que des pensions d’entretien fondées sur le droit de la famille ont été fixées par l’autorité compétente en leur faveur, mais du fait qu’elles ne sont pas versées par le</w:t>
      </w:r>
    </w:p>
    <w:p>
      <w:r>
        <w:t>A/16/2021 - 10/11 - débiteur, elles ne sont pas prises en considération comme dépenses. Elles ne le sont que lorsque le SCARPA effectue des avances à l’assurée. D______ et E______ sont ainsi exclus du calcul des prestations complémentaires du 1er novembre 2011, début du droit aux prestations, au 30 avril 2014, date à laquelle les avances du SCARPA ont pris fin. Il ressort en effet du dossier que les ressources, compte tenu de la pension alimentaire versée par le SCARPA, sont alors inférieures aux dépenses reconnues. Dès le 1er mai 2014, D______ et E______ entrent à nouveau dans le calcul des prestations complémentaires. B______, quant à elle, ne vit pas avec sa mère au 1er novembre 2011, et n’est en conséquence pas prise en compte dans le calcul des PC de celle-ci. C______ n’a jamais eu droit à une rente complémentaire AI, et ne peut dès lors être prise en considération dans les barèmes.</w:t>
      </w:r>
    </w:p>
    <w:p>
      <w:r>
        <w:rPr>
          <w:b/>
        </w:rPr>
        <w:t>E. 8.3.2</w:t>
      </w:r>
    </w:p>
    <w:p>
      <w:r>
        <w:t>L’assurée, par ailleurs, perçoit des indemnités journalières AI depuis le 1er juillet 2014. Or, les enfants de bénéficiaires d’indemnités journalières ne sont pas pris en compte dans le calcul (arrêt du Tribunal fédéral 9C_882/2012), ce qui influe nécessairement sur son droit aux prestations complémentaires.</w:t>
      </w:r>
    </w:p>
    <w:p>
      <w:r>
        <w:rPr>
          <w:b/>
        </w:rPr>
        <w:t>E. 8.3.3</w:t>
      </w:r>
    </w:p>
    <w:p>
      <w:r>
        <w:t>Peuvent être pris en compte comme dépenses, le loyer annuel d’un appartement et les frais accessoires y relatifs, ceci jusqu’à concurrence d’un montant maximal déterminé en fonction du type de logement, de la taille du ménage déterminant et de la région du loyer (DPC 3231.01). Les parts de loyer des personnes non comprises dans le calcul PC ne sont pas prises en compte (DPC 3231.03). Pour les bénéficiaires de PC qui font ménage commun avec des enfants qui n’ont pas droit à une rente pour enfant, mais vis-à-vis desquels ils ont une obligation d’entretien, aucun partage de loyer n’est en principe opéré (ATF P 56/00 consid. 2b ; DPC 3231.04). Dans sa décision sur opposition du 18 novembre 2020, le SPC a corrigé le plafond de loyer en l’augmentant à CHF 15'000.-, au lieu de CHF 13'200.- du 1er janvier 2016 au 31 mars 2017, date à laquelle D______ a quitté le domicile familial. Il a ainsi tenu compte de D______ faisant effectivement partie du calcul des prestations complémentaires durant cette période. E______, quant à lui, a été exclu du calcul des prestations complémentaires fédérales dès le 1er mars 2018 en raison de la hausse des rentes d’invalidité.</w:t>
      </w:r>
    </w:p>
    <w:p>
      <w:r>
        <w:rPr>
          <w:b/>
        </w:rPr>
        <w:t>E. 9</w:t>
      </w:r>
    </w:p>
    <w:p>
      <w:r>
        <w:t>Force est ainsi de constater que les calculs auxquels a procédé le SPC ne sont pas critiquables. Aussi le recours est-il rejeté.</w:t>
      </w:r>
    </w:p>
    <w:p>
      <w:r>
        <w:t>A/16/2021 - 11/11 -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