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ATAS/1350/2012 vom 7. November 2012</w:t>
      </w:r>
    </w:p>
    <w:p>
      <w:r>
        <w:t>GE Cour de justice, 2012-11-07, FR</w:t>
      </w:r>
    </w:p>
    <w:p>
      <w:r>
        <w:rPr>
          <w:b/>
        </w:rPr>
        <w:t xml:space="preserve">Quelle: </w:t>
      </w:r>
      <w:r>
        <w:t>https://mcp.opencaselaw.ch/entscheid/ge_gerichte_ATAS_1350_2012</w:t>
      </w:r>
    </w:p>
    <w:p>
      <w:r>
        <w:t>FR: GE_GERICHTE ATAS/1350/2012 du 7 novembre 2012</w:t>
      </w:r>
    </w:p>
    <w:p>
      <w:r>
        <w:t>IT: GE_GERICHTE ATAS/1350/2012 del 7 novembre 2012</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w:t>
      </w:r>
    </w:p>
    <w:p>
      <w:r>
        <w:t>A/1537/2012 4/6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 au 31 décembre 2002, 3,25% en 2003, 2,25% en 2004, 2,5% dès le 1er janvier 2005, 2,75% dès le 1er janvier 2008 et 2% dès le 1er janvier 2009.</w:t>
      </w:r>
    </w:p>
    <w:p>
      <w:r>
        <w:rPr>
          <w:b/>
        </w:rPr>
        <w:t>E. 4</w:t>
      </w:r>
    </w:p>
    <w:p>
      <w:r>
        <w:t>Conformément à l'art. 142 al. 1 CC, en l'absence de convention, le juge du divorce fixe les proportions dans lesquelles les prestations de sortie doivent être partagées. Selon l'al. 2 de cette disposition, aussitôt après l'entrée en force de la décision relative au partage, le juge transfère d'office l'affaire au juge compétent en vertu de la LFLP. Aux termes de l'art. 142 al. 3 CC, il doit en particulier lui communiquer la décision relative au partage (ch. 1), la date du mariage et celle du divorce (ch. 2), les institutions de prévoyance professionnelle auprès desquelles les conjoints ont probablement des avoirs (ch. 3), le montant des avoirs déclarés par ces institutions (ch. 4). A défaut d'accord entre les conjoints ou de ratification de leur convention par le juge, il appartient donc tout d'abord au juge du divorce de régler le sort de la prévoyance professionnelle des époux. Il lui incombe d'examiner si les conjoints disposent d'un droit à une prestation de sortie à l'égard d'une institution de prévoyance. Si tel est le cas, il doit fixer les proportions dans lesquelles les prestations de sortie doivent être partagées (art. 142 al. 1 CC). Il n'a en revanche pas le pouvoir de déterminer quel montant exact doit être transféré par l'institution de prévoyance de l'un des conjoints, le jugement de divorce ne pouvant pas définir de manière obligatoire la situation juridique entre les conjoints et l'institution de prévoyance, celle-ci n'étant pas partie à la procédure de divorce (ATF 128 V 41 consid. 2c p. 46). L'exécution du partage des prestations de sortie est ensuite du ressort du juge des assurances sociales (art. 25a al. 1 LFLP). Celui-ci doit examiner les aspects nécessaires pour le partage des prestations de sortie, notamment leur étendue, calculer le montant à partager et décider quelle institution de prévoyance devra verser celui-ci. Seules les proportions dans lesquelles les prestations de sortie doivent être partagées (art. 142 al. 1 et al. 3 ch. 1 CC) lient le juge des assurances</w:t>
      </w:r>
    </w:p>
    <w:p>
      <w:r>
        <w:t>A/1537/2012 5/6 sociales (voir aussi l'art. 25a al. 1 LFLP). Les informations sur les institutions de prévoyance susceptibles de détenir des avoirs de prévoyance et les montants approximatifs de ceux-ci n'ont en revanche pas de caractère contraignant pour le juge des assurances sociales. S'il dispose de sérieux indices que l'un ou l'autre des conjoints a droit à des expectatives de prévoyance qui n'ont pas été prises en compte par le juge du divorce lorsque celui-ci a fixé la clé de répartition du partage au sens de l'art. 122 CC, le juge des assurances sociales doit instruire ce point. Il exécutera ensuite le partage prévu avec, cas échéant, des prestations plus importantes que celles prises en considération dans la procédure de divorce (ATF 133 V 147 consid. 5.3 p. 149 ss).</w:t>
      </w:r>
    </w:p>
    <w:p>
      <w:r>
        <w:rPr>
          <w:b/>
        </w:rPr>
        <w:t>E. 5</w:t>
      </w:r>
    </w:p>
    <w:p>
      <w:r>
        <w:t>En l’espèce, le juge de première instance a ordonné le partage par moitié des avoirs de prévoyance professionnelle accumulés pendant le mariage par la demanderesse auprès de la PAX Fondation collective LPP et par le demandeur auprès de la Fondation collective de l’ALLIANZ SUISSE. Cependant, comme relevé ci-dessus, le juge des assurances sociales n'est pas limité dans sa compétence en ce qui concerne l'étendue du partage, à défaut d'accord entre les conjoints ou de ratification de leur convention par le juge du divorce, comme en l'espèce. Partant, il convient également de prendre en considération l'avoir de vieillesse accumulé pendant le mariage par la demanderesse auprès de la CIEPP, même si celui-ci n'est pas mentionné dans le jugement de divorce. Les dates pertinentes sont, d’une part, celle du mariage, le 24 juin 2004, d’autre part le 3 janvier 2012, date à laquelle le jugement de divorce est devenu exécutoire.</w:t>
      </w:r>
    </w:p>
    <w:p>
      <w:r>
        <w:rPr>
          <w:b/>
        </w:rPr>
        <w:t>E. 6</w:t>
      </w:r>
    </w:p>
    <w:p>
      <w:r>
        <w:t>Selon les renseignements recueillis, la prestation acquise pendant le mariage par le demandeur est de 141'924 fr. 05, tandis que celle acquise par la demanderesse est de 50'367 fr. 50 (147'266 fr. - 107'467 fr. 78 + 10'569 fr. 30), les intérêts ayant déjà été calculés par les institutions de prévoyance défenderesses. Ainsi le demandeur doit à son ex-épouse le montant de 70'962 fr.03 (141'924 fr. 05 : 2) et celle-ci lui doit la somme de 25'183 fr. 75 (50'367 fr. 30 : 2). Le demandeur est ainsi tenu de verser à son ex-épouse le montant de 45'778 fr. 28.</w:t>
      </w:r>
    </w:p>
    <w:p>
      <w:r>
        <w:rPr>
          <w:b/>
        </w:rPr>
        <w:t>E. 7</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8</w:t>
      </w:r>
    </w:p>
    <w:p>
      <w:r>
        <w:t>Aucun émolument ne sera perçu, la procédure étant gratuite (art. 73 al. 2 LPP et 89H al. 1 de la loi sur la procédure administrative du 12 septembre 1985).</w:t>
      </w:r>
    </w:p>
    <w:p>
      <w:r>
        <w:t>A/1537/2012 6/6</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