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ATAS/134/2018 vom 19. Februar 2018</w:t>
      </w:r>
    </w:p>
    <w:p>
      <w:r>
        <w:t>GE Cour de justice, 2018-02-19, FR</w:t>
      </w:r>
    </w:p>
    <w:p>
      <w:r>
        <w:rPr>
          <w:b/>
        </w:rPr>
        <w:t xml:space="preserve">Quelle: </w:t>
      </w:r>
      <w:r>
        <w:t>https://mcp.opencaselaw.ch/entscheid/ge_gerichte_ATAS_134_2018</w:t>
      </w:r>
    </w:p>
    <w:p>
      <w:r>
        <w:t>FR: GE_GERICHTE ATAS/134/2018 du 19 février 2018</w:t>
      </w:r>
    </w:p>
    <w:p>
      <w:r>
        <w:t>IT: GE_GERICHTE ATAS/134/2018 del 19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18 décembre au 2 janvier, le recours est recevable (art. 38 al. 4 et 60 ss LPGA; art. 89B de la loi sur la procédure administrative du 12 septembre 1985 - [LPA-GE - E 5 10]).</w:t>
      </w:r>
    </w:p>
    <w:p>
      <w:r>
        <w:rPr>
          <w:b/>
        </w:rPr>
        <w:t>E. 4</w:t>
      </w:r>
    </w:p>
    <w:p>
      <w:r>
        <w:t>Le litige porte sur le droit de la recourante à des prestations d’invalidité, singulièrement à une rente.</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A/225/2017 - 10/15 -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A/225/2017 - 11/15 -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w:t>
      </w:r>
    </w:p>
    <w:p>
      <w:r>
        <w:rPr>
          <w:b/>
        </w:rPr>
        <w:t>E. 8</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w:t>
      </w:r>
    </w:p>
    <w:p>
      <w:r>
        <w:t>A/225/2017 - 12/15 -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rPr>
          <w:b/>
        </w:rPr>
        <w:t>E. 10</w:t>
      </w:r>
    </w:p>
    <w:p>
      <w:r>
        <w:t>En l’espèce, la décision attaquée, fondée sur le rapport d’examen rhumatologique du Dr F______, retient que l’assurée est capable d’exercer son activité antérieure de secrétaire à 70%, de sorte qu’elle présente un degré d’invalidité de 30%, insuffisant pour ouvrir droit à une rente. Elle refuse également toute mesure d’ordre professionnel, au motif que l’assurée demeure capable d’exercer son activité habituelle. De son côté, la recourante reproche à l’administration d’avoir insuffisamment instruit son dossier en ne donnant pas suite à la suggestion du Dr M______ de procéder à une appréciation médicale globale, notamment sous l’angle psychiatrique et pneumologique. Elle n’a en particulier pas tenu compte de l’état dépressif mentionné par le Dr C______, entraînant une fatigabilité et une baisse de rendement. Elle requiert en conséquence la mise en œuvre d’une expertise pluridisciplinaire.</w:t>
      </w:r>
    </w:p>
    <w:p>
      <w:r>
        <w:rPr>
          <w:b/>
        </w:rPr>
        <w:t>E. 11</w:t>
      </w:r>
    </w:p>
    <w:p>
      <w:r>
        <w:t>À l’instar de la recourante, la chambre de céans estime que l’intimé n’a pas satisfait à son devoir d’instruction d’office (art. 43 al. 1 LPGA) en limitant la portée de ses investigations médicales au seul aspect rhumatologique des atteintes en cause. En effet, il convient de rappeler qu’à l’issue de son appréciation, l’examinateur du SMR a insisté dans son rapport sur le fait que les atteintes dont souffrait l’assurée n’étaient pas uniquement de nature rhumatologique mais qu’elles étaient « multiples », de sorte qu’il jugeait nécessaire que le médecin en charge du dossier au SMR procède à une appréciation médicale globale, en particulier sur les plans psychiatrique et pneumologique. Il a également invité le SMR à interroger le</w:t>
      </w:r>
    </w:p>
    <w:p>
      <w:r>
        <w:t>A/225/2017 - 13/15 - médecin traitant sur la présence d’une éventuelle pathologie psychiatrique. L’examinateur a jugé ces clarifications suffisamment importantes pour qu’il les sollicite à deux reprises dans son rapport, en caractères majuscules puis italiques. Nonobstant cette demande de l’examinateur, la Dresse H______, responsable du dossier auprès du SMR, n’a nullement cherché à obtenir des renseignements complémentaires sur les troubles psychiatriques et pneumologiques dont l’assurée semble souffrir, pas plus qu’elle ne s’est livrée à l’appréciation médicale globale préconisée. Elle s’est bornée à relever – après avoir reçu un rapport du rhumatologue de l’assurée transmis spontanément à l’appui de l’opposition – que ce médecin n’avait pas attesté d’une pathologie psychiatrique ou d’une aggravation de l’état de santé. Ce praticien a néanmoins fait état d’un état dépressif chronique réactionnel, en lien notamment avec des douleurs chroniques, dont il a estimé qu’il pouvait accroître l’incapacité de travail en raison d’une fatigabilité et d’une perte de rendement. Il a en outre précisé que l’assurée était sous traitement antidépresseur (Cipralex). Malgré leur caractère succinct, ces indications fournies par le rhumatologue-traitant confirment la nécessité de procéder à un examen psychiatrique, étant précisé au demeurant que l’assurée est suivie par une psychologue. Que le Dr C______ n’ait pas posé un diagnostic psychiatrique formel n’y change rien, car cela ne relève pas de son domaine de spécialisation. Cela étant dit, si l’examen ou l’expertise psychiatrique à venir devait démontrer une absence de pathologie psychiatrique, alors il conviendrait effectivement de faire abstraction de cet aspect pour évaluer la capacité de travail, faute d’atteinte à la santé psychique ayant valeur de maladie. Le dossier ne renferme pas non plus de renseignements suffisants s’agissant des atteintes pneumologiques. Tout au plus en ressort-il que l’assurée souffre d’un asthme jugé incapacitant par le Dr C______, mais également d’une forte dyspnée et d’apnées du sommeil. Elle a par ailleurs subi plusieurs embolies pulmonaires et a été hospitalisée aux soins intensifs en 2015 pour une double pneumonie aigüe ainsi qu’une insuffisance cardiaque. En l’absence d’une appréciation médicale motivée discutant des éventuelles répercussions des atteintes citées sur la capacité de travail, l’on est en présence, sur ce point également, d’une lacune de l’instruction, qu’il appartiendra à l’intimé de combler, comme l’a préconisé l’examinateur du SMR. Enfin, la chambre de céans observe que l’assurée a été opérée aux HUG d’une tumeur de l’utérus le 1er septembre 2016, ce qui témoigne d’une possible aggravation de son état de santé, intervenue entre l’examen du SMR et la décision querellée (cf. pièce 31 du dossier de l’OAI), aggravation qu’il appartiendra à l’intimé d’investiguer, à tout le moins en invitant les HUG à compléter un rapport. En conséquence, l’on ne saurait se fonder, à ce stade et sans investigation supplémentaire, sur l’examen rhumatologique du SMR pour statuer sur le droit de la recourante à des prestations de l’assurance-invalidité.</w:t>
      </w:r>
    </w:p>
    <w:p>
      <w:r>
        <w:rPr>
          <w:b/>
        </w:rPr>
        <w:t>E. 12</w:t>
      </w:r>
    </w:p>
    <w:p>
      <w:r>
        <w:t>Faute d’instruction suffisante par l’intimé, la chambre de céans n’est pas en mesure de statuer définitivement sur la capacité de travail, partant sur le degré d’invalidité</w:t>
      </w:r>
    </w:p>
    <w:p>
      <w:r>
        <w:t>A/225/2017 - 14/15 - et le droit aux prestations. Il se justifie en conséquence d’admettre partiellement le recours, d’annuler la décision du 5 décembre 2016 et de renvoyer la cause à l’intimé pour qu’il complète l’instruction, puis rende une nouvelle décision. Il incombera à l’intimé de mettre en œuvre une expertise pluridisciplinaire ou un examen médical, permettant d’apprécier la capacité de travail de l’assurée dans une perspective globale, intégrant non seulement le volet rhumatologique mais également les aspects relevant de la psychiatrie et de la pneumologie, voire si nécessaire, de l’oncologie.</w:t>
      </w:r>
    </w:p>
    <w:p>
      <w:r>
        <w:rPr>
          <w:b/>
        </w:rPr>
        <w:t>E. 13</w:t>
      </w:r>
    </w:p>
    <w:p>
      <w:r>
        <w:t>La procédure de recours en matière de contestation portant sur l’octroi ou le refus de prestations de l’assurance-invalidité étant soumise à des frais de justice, un émolument de CHF 200.- est mis à charge de l’intimé (art. 69 al. 1 bis LAI).</w:t>
      </w:r>
    </w:p>
    <w:p>
      <w:r>
        <w:t>****</w:t>
      </w:r>
    </w:p>
    <w:p>
      <w:r>
        <w:t>A/225/2017 - 15/15 -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