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ATAS/134/2009 vom 9. Februar 2009</w:t>
      </w:r>
    </w:p>
    <w:p>
      <w:r>
        <w:t>GE Cour de justice, 2009-02-09, FR</w:t>
      </w:r>
    </w:p>
    <w:p>
      <w:r>
        <w:rPr>
          <w:b/>
        </w:rPr>
        <w:t xml:space="preserve">Quelle: </w:t>
      </w:r>
      <w:r>
        <w:t>https://mcp.opencaselaw.ch/entscheid/ge_gerichte_ATAS_134_2009</w:t>
      </w:r>
    </w:p>
    <w:p>
      <w:r>
        <w:t>FR: GE_GERICHTE ATAS/134/2009 du 9 février 2009</w:t>
      </w:r>
    </w:p>
    <w:p>
      <w:r>
        <w:t>IT: GE_GERICHTE ATAS/134/2009 del 9 febbraio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forme et délai légaux (art. 106 LAA dans sa teneur en vigueur depuis le 1er janvier 2003, en dérogation à l’art. 60 LPGA), le recours est recevable.</w:t>
      </w:r>
    </w:p>
    <w:p>
      <w:r>
        <w:rPr>
          <w:b/>
        </w:rPr>
        <w:t>E. 3</w:t>
      </w:r>
    </w:p>
    <w:p>
      <w:r>
        <w:t>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t>A/575/2008 - 9/17 -</w:t>
      </w:r>
    </w:p>
    <w:p>
      <w:r>
        <w:rPr>
          <w:b/>
        </w:rPr>
        <w:t>E. 4</w:t>
      </w:r>
    </w:p>
    <w:p>
      <w:r>
        <w:t>Le litige porte sur le droit du recourant à une rente d’invalidité de l’assurance- accidents ainsi qu’à une indemnité pour atteinte à l’intégrité, singulièrement le taux de celles-ci.</w:t>
      </w:r>
    </w:p>
    <w:p>
      <w:r>
        <w:rPr>
          <w:b/>
        </w:rPr>
        <w:t>E. 5</w:t>
      </w:r>
    </w:p>
    <w:p>
      <w:r>
        <w:t>a)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rente d'invalidité s'élève à 80% du gain assuré en cas d'invalidité totale ; si l'invalidité n'est que partielle, la rente est diminuée en conséquence (art. 20 al. 1 LAA). Par ailleurs, si l'assuré a droit à une rente de l'assurance-invalidité ou à une rente de l'assurance-vieillesse et survivants, une rente complémentaire lui est allouée, qui correspond à la différence entre 90% du gain assuré et la rente de l'assurance-invalidité ou de l'assurance-vieillesse et survivants mais au plus au montant prévu pour l'invalidité totale ou partielle (art. 20 al. 2 LAA).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 6 février 2002, U 241/00 consid. 2). Le revenu sans invalidité représente quant à lui le revenu que l'assuré aurait pu obtenir s'il n'était pas invalide. Il s'évalue, en règle générale, d'après le dernier salaire que l'assuré a obtenu avant l'atteinte à la santé, en tenant compte de l'évolution des circonstances à l'époque où est née le droit à la rente (cf. ATF 129 V 222 consid. 4).</w:t>
      </w:r>
    </w:p>
    <w:p>
      <w:r>
        <w:t>A/575/2008 - 10/17 - c)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d)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Cela étant, selon l’ATF 126 V 288, l’assureur social, lorsqu’il n’utilise pas la possibilité d’attaquer la décision d’un autre assureur, doit en principe se laisser imposer cette décision, pour autant qu’elle lui ait été régulièrement notifiée. Celle règle a été précisée en ce sens qu’elle ne vaut pas à l’égard de l’assurance-accidents lorsque la décision a été prise dans la procédure ouverte par l’assurance-invalidité (VSI 2004 p. 182). Le Tribunal fédéral a confirmé que l’assureur-accidents n’avait pas qualité pour former opposition contre la décision ou pour recourir contre la décision sur opposition de l’Office AI sur le droit à la rente en tant que tel ou sur le degré d’invalidité et l’évaluation de l’invalidité par l’assurance-invalidité n’avait pas de force contraignante à son égard (ATF 131 V 362). Plus récemment (ATF 133 V 549), le Tribunal fédéral a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e)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w:t>
      </w:r>
    </w:p>
    <w:p>
      <w:r>
        <w:t>A/575/2008 - 11/17 -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Par ailleurs,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w:t>
      </w:r>
    </w:p>
    <w:p>
      <w:r>
        <w:rPr>
          <w:b/>
        </w:rPr>
        <w:t>E. 6</w:t>
      </w:r>
    </w:p>
    <w:p>
      <w:r>
        <w:t>a) En l’espèce, l’intimée s’est principalement fondée sur les conclusions de son médecin d’arrondissement, ainsi que celles de son service de médecine des assurances, pour déterminer la capacité de travail résiduelle du recourant eu égard à ses problèmes somatiques. Elle a fixé celle-ci à 100 % dans une activité adaptée. Le recourant conteste cette appréciation, estimant d’une part qu’elle repose sur un avis datant de plus de trois ans avant la décision et, d’autre part, que les autres médecins consultés font état d’une incapacité de travail totale, voire de 50 % dans une activité légère en position assise (docteur P__________).</w:t>
      </w:r>
    </w:p>
    <w:p>
      <w:r>
        <w:t>A/575/2008 - 12/17 - b) Le recourant fait cependant fausse route. En effet, on ne voit pas de raison, au regard des principes jurisprudentiels évoqués ci-dessus (consid. 5e), de s’écarter des considérations du docteur N_________, médecin d’arrondissement de l’intimée. Son rapport est certes antérieur de 32 mois à la décision sur opposition entreprise. Cela étant, il n’est nullement contredit par les autres documents figurant tant au dossier de l’intimée que dans celui de l’OCAI. En particulier, le rapport du docteur R__________ auquel se réfère l’intéressé ne fait que relater une situation tout à fait superposable à celle connue du médecin-conseil de l’assurance, lorsqu’il a rendu son rapport d’examen final à fin février 2005, et il ne se prononce pas sur une éventuelle incapacité de travail. Quant à l’avis du docteur P__________, ancien également, mais pourtant invoqué par le recourant, il ne fait que confirmer les conclusions du docteur N_________, en ce que le médecin ne trouve aucun élément objectif permettant d’expliquer la symptomatologie de l’assuré. En outre, la mention d’une reprise d’activité (au demeurant déjà évoquée dans le cadre d’une recommandation en vue de mesures professionnelles par le docteur T__________ en avril 2005) à 50 % ne constitue, comme relevé à juste titre par l’intimée, qu’un taux de capacité de travail minimal dans le cadre d’un recommencement (progressif) d’une activité professionnelle. En conséquence, dans la mesure où le rapport du docteur N_________ doit se voir accorder pleine valeur probante, puisqu’il remplit les critères posés par la jurisprudence du Tribunal fédéral à ce propos, et qu’aucun fait nouveau susceptible d’influer sur les conclusions déterminées par ce médecin n’a été non seulement démontré, mais ne serait-ce qu’allégué, le Tribunal retiendra qu’au moment déterminant pour le calcul du taux d’invalidité, soit septembre 2005, le recourant n’était plus capable d’exercer son ancienne profession d’agent de sécurité, mais pouvait mettre à profit une capacité de travail complète dans une activité adaptée ne requérant pas de marche de très longue durée ou sur terrain inégal, pas de station debout prolongée, ni accroupie, ni agenouillée, pas de montée et descente répétitive d’escaliers, ni de course à pied (voir aussi, concernant la détermination des limitations fonctionnelles, les rapports des docteurs S__________ et W__________).</w:t>
      </w:r>
    </w:p>
    <w:p>
      <w:r>
        <w:rPr>
          <w:b/>
        </w:rPr>
        <w:t>E. 7</w:t>
      </w:r>
    </w:p>
    <w:p>
      <w:r>
        <w:t>a) Demeure litigieuse la question de savoir si les troubles psychiques présentés par le recourant doivent être pris en compte par l’assureur-accidents. b) De façon générale, le droit au versement des prestations de l’assurance-accidents suppose,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b/aa) L’exigence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w:t>
      </w:r>
    </w:p>
    <w:p>
      <w:r>
        <w:t>A/575/2008 - 13/17 -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406 consid. 4.3.1, 119 V 337 consid. 1, 118 V 289 consid. 1b et les références). b/bb)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A/575/2008 - 14/17 -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c) En l’espèce, les circonstances de l’accident du 25 juillet 2003 sont peu claires. Certains documents mentionnent une chute, alors que d’autres parlent d’une simple torsion de l’articulation du genou. Il est également mentionné – à une reprise - une lésion de la cheville (vraisemblablement par erreur) en lieu et place du genou. Ce qui est certain, c’est que l’événement s’est produit alors que le recourant pratiquait un sport d’équipe (selon toute vraisemblance le beach volley) sur une plage en Tunisie. Quoi qu’il en soit, aucun document ni allégation ne vient relater un déroulement particulier des événements. Le Tribunal de céans en déduit que le recourant a subi une torsion de son genou droit, alors qu’il jouait sur une plage, et est peut-être tombé. De tels faits ne justifient pas d’autre qualification que celle d’accident de peu de gravité. Il s’agit en effet d’un événement malgré tout banal et sans circonstances concomitantes particulières. En pareille situation, le lien de causalité adéquat entre des troubles d’ordre psychique (tels ceux diagnostiqués chez le recourant par le docteur V__________) et l’événement accidentel incriminé est d’emblée exclu. Même si l’on devait retenir une hypothèse – non réalisée - plus favorable au recourant, soit qualifier l’accident de moyennement grave à la limite des accidents insignifiants, elle ne serait d’aucun secours à ce dernier. En effet, on ne voit guère que le critère de la persistance des douleurs physiques qui peut être retenu, ce qui est manifestement insuffisant pour reconnaître un lien de causalité adéquate entre l’accident et les troubles psychiques. En conséquence, c’est à bon droit que l’intimée n’a pas jugé utile de procéder à des investigations complémentaires sur ce point.</w:t>
      </w:r>
    </w:p>
    <w:p>
      <w:r>
        <w:rPr>
          <w:b/>
        </w:rPr>
        <w:t>E. 8</w:t>
      </w:r>
    </w:p>
    <w:p>
      <w:r>
        <w:t>Il convient dès lors de procéder à la fixation du taux d’invalidité. Les chiffres retenus par l’intimée n’étant pas contestés en tant que tels et favorables au recourant par rapport à un recours aux données émanant des statistiques salariales (même en retenant un abattement sur le revenu d’invalide ; cf. Enquête suisse sur la structure des salaires édité par l’Office fédéral de la statistique), le Tribunal de céans ne voit pas de motif de revenir sur ce calcul, qui doit être confirmé. Le recourant a donc droit à une rente d’invalidité, dès le 1er septembre 2005, fondée sur un taux de 18 %.</w:t>
      </w:r>
    </w:p>
    <w:p>
      <w:r>
        <w:rPr>
          <w:b/>
        </w:rPr>
        <w:t>E. 9</w:t>
      </w:r>
    </w:p>
    <w:p>
      <w:r>
        <w:t>a) Aux termes des art. 24 et 25 LAA, une indemnité équitable pour atteinte à l'intégrité (ci-après : IPAI) est versée à l'assuré qui, par suite d'accident, souffre</w:t>
      </w:r>
    </w:p>
    <w:p>
      <w:r>
        <w:t>A/575/2008 - 15/17 -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b) En l’espèce, le recourant conteste le montant de l’IPAI fixée par l’intimée, dans la mesure où il ne tiendrait pas compte de l’intégralité des atteintes dont il souffre</w:t>
      </w:r>
    </w:p>
    <w:p>
      <w:r>
        <w:t>A/575/2008 - 16/17 - ensuite de l’événement accidentel du 25 juillet 2003. En particulier, il requiert une nouvelle fixation de l’IPAI sur la base de l’expertise judiciaire dont il demande la mise en œuvre. c) Or, comme cela a été démontré ci-dessus (consid. 7 i.f.), point n’est besoin de diligenter une expertise dans la présente cause, dont les faits, du point de vue médical, ont été éclaircis à suffisance. Le docteur N_________, qui a déterminé le taux de l’atteinte, soit 5 %, a procédé par analogie, en se référant à la table des arthroses et à celle des troubles fonctionnels des membres inférieurs. On ne voit pas en quoi cette méthode, au demeurant non contestée, violerait les principes rappelés ci-avant. Dès lors, le Tribunal confirme l’appréciation faite par le médecin d’arrondissement de l’intimée et reprise par cette dernière dans sa décision.</w:t>
      </w:r>
    </w:p>
    <w:p>
      <w:r>
        <w:rPr>
          <w:b/>
        </w:rPr>
        <w:t>E. 10</w:t>
      </w:r>
    </w:p>
    <w:p>
      <w:r>
        <w:t>Au vu de ce qui précède, le recourant succombe et n’a donc pas droit à l’indemnité de dépens réclamée.</w:t>
      </w:r>
    </w:p>
    <w:p>
      <w:r>
        <w:t>A/575/2008 - 17/17 -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