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ATAS/1348/2014 vom 23. Dezember 2014</w:t>
      </w:r>
    </w:p>
    <w:p>
      <w:r>
        <w:t>GE Cour de justice, 2014-12-23, FR</w:t>
      </w:r>
    </w:p>
    <w:p>
      <w:r>
        <w:rPr>
          <w:b/>
        </w:rPr>
        <w:t xml:space="preserve">Quelle: </w:t>
      </w:r>
      <w:r>
        <w:t>https://mcp.opencaselaw.ch/entscheid/ge_gerichte_ATAS_1348_2014</w:t>
      </w:r>
    </w:p>
    <w:p>
      <w:r>
        <w:t>FR: GE_GERICHTE ATAS/1348/2014 du 23 décembre 2014</w:t>
      </w:r>
    </w:p>
    <w:p>
      <w:r>
        <w:t>IT: GE_GERICHTE ATAS/1348/2014 del 23 dicembre 2014</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rPr>
          <w:b/>
        </w:rPr>
        <w:t>E. 4</w:t>
      </w:r>
    </w:p>
    <w:p>
      <w:r>
        <w:t>Le litige porte sur le droit de la caisse de réclamer à la recourante la réparation du dommage subi en raison du non-paiement des cotisations paritaires AVS/AI/APG/AC, ainsi que des cotisations AMat et AF dues par la société de mai 2009 à septembre 2010.</w:t>
      </w:r>
    </w:p>
    <w:p>
      <w:r>
        <w:rPr>
          <w:b/>
        </w:rPr>
        <w:t>E. 5</w:t>
      </w:r>
    </w:p>
    <w:p>
      <w:r>
        <w:t>a. A teneur de l’art. 52 LAVS en vigueur dès le 1er janvier 2003 (introduit par le ch. 7 de l'annexe à la LPGA), l’employeur qui, intentionnellement ou par négligence grave, n’observe pas des prescriptions et cause ainsi un dommage à l’assurance, est tenu à réparation (al. 1).</w:t>
      </w:r>
    </w:p>
    <w:p>
      <w:r>
        <w:t>A/496/2014 - 8/18 -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c. En l’espèce, le dommage subi par l’intimée consiste en la perte de la créance de cotisations AVS/AI/APG/AC/AMAT et AF due par la société E______ SA de mai 2009 à septembre 2010, soit la somme de CHF 31'374.25. Ce montant n’est pas contesté par la recourante.</w:t>
      </w:r>
    </w:p>
    <w:p>
      <w:r>
        <w:rPr>
          <w:b/>
        </w:rPr>
        <w:t>E. 6</w:t>
      </w:r>
    </w:p>
    <w:p>
      <w:r>
        <w:t>Il convient préalablement d’examiner si la prétention de la caisse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w:t>
      </w:r>
    </w:p>
    <w:p>
      <w:r>
        <w:t>A/496/2014 - 9/18 - (ATF 129 V 193 consid. 2.3 p. 195 s).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En l’espèce, la recourante allègue que la créance en réparation du dommage est prescrite, dans la mesure où l’intimée aurait dû se rendre compte en 2009 ou 2010 déjà que les finances de la société étaient précaires. Elle ne met toutefois pas en évidence d’élément pertinent qui permettrait d’établir une connaissance suffisante du dommage par l’intimée à cette époque, étant précisé que l’élément déterminant est de constater qu'il n'y a "rien dont on puisse tirer profit, rien à distribuer " (cf. FRITSCHE, "Schuldbetreibung und Konkurs" II, 2ème éd., p. 112). Son argumentation tend de surcroît à assimiler le moment de la connaissance du dommage à celui de la survenance de faits propres à fonder la responsabilité de l'employeur, soit la cessation de paiement des cotisations ou le non-versement des arriérés de cotisations convenu. À cet égard, on rappellera que le simple fait qu'un employeur cesse de payer les cotisations ne permet pas encore à la caisse de compensation de se faire une opinion sur le recouvrement ultérieur de ses créances (Arrêt du Tribunal fédéral H 81/03 du 18 janvier 2005, consid. 4). La chambre de céans considère en conséquence que c’est lors de la suspension de la liquidation de la faillite faute d'actifs, publiée le 9 décembre 2011, que la Caisse a su qu’elle subissait un dommage, de sorte que sa décision du 30 mai 2013 est intervenue dans le délai légal de deux ans dès la connaissance du dommage. Cette</w:t>
      </w:r>
    </w:p>
    <w:p>
      <w:r>
        <w:t>A/496/2014 - 10/18 - décision a en outre été rendue moins de cinq ans après le prononcé de la faillite. L’intimée a ainsi respecté les délais prévus à l’art. 52 al. 3 LAVS.</w:t>
      </w:r>
    </w:p>
    <w:p>
      <w:r>
        <w:rPr>
          <w:b/>
        </w:rPr>
        <w:t>E. 7</w:t>
      </w:r>
    </w:p>
    <w:p>
      <w:r>
        <w:t>Il convient de déterminer si la recourante peut être assimilée à un employeur tenu de verser les cotisations à la caisse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w:t>
      </w:r>
    </w:p>
    <w:p>
      <w:r>
        <w:t>A/496/2014 - 11/18 - d. En l’espèce, la recourante a été inscrite au registre du commerce en qualité d’administratrice avec signature individuelle de E______ SA du 3 juillet 2006 au 15 novembre 2010. Elle était partant un organe de la société.</w:t>
      </w:r>
    </w:p>
    <w:p>
      <w:r>
        <w:rPr>
          <w:b/>
        </w:rPr>
        <w:t>E. 8</w:t>
      </w:r>
    </w:p>
    <w:p>
      <w:r>
        <w:t>Il sied à ce stade d’examiner si la recourante a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w:t>
      </w:r>
    </w:p>
    <w:p>
      <w:r>
        <w:t>A/496/2014 - 12/18 -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recourante conteste toute responsabilité et estime n’avoir commis aucune négligence grave. L’appelé en cause lui aurait caché la situation financière de la société, ce d’autant plus facilement que l’intimée ne s’adressait qu’à lui. Elle soutient avoir pris, dès que l’intimée s’est tourné vers elle, des mesures afin de veiller au respect par l’appelé en cause d’un plan de paiement, puis sollicité une assemblée générale intervenue le 19 octobre 2010. Sa faute serait si peu grave en comparaison avec celle de l’appelé en cause qu’il serait injuste de lui faire supporter l’entier du dommage. L’argumentation de la recourante revient à soutenir que son rôle se serait limité à celui d’une « femme de paille » – terme qu’elle emploie d’ailleurs dans son opposition du 3 juin 2013 – jusqu’à ce qu’elle reçoive la menace de dénonciation</w:t>
      </w:r>
    </w:p>
    <w:p>
      <w:r>
        <w:t>A/496/2014 - 13/18 - pénale du 12 juillet 2010. C’est précisément en cela que réside sa faute, puisque celui qui se déclare prêt à assumer un mandat d'administrateur, tout en sachant qu'il ne pourra pas le remplir consciencieusement, viole son obligation de diligence (ATF 122 III 200 consid. 3b; RDAT 2003, II, p. 243 et sv. consid. 2.4). Il y a en effet lieu de rappeler que lorsque l'administrateur revêt cette qualité sans en assumer la fonction dans les faits, il méconnait l'une des attributions intransmissibles et inaliénables que lui confère l'art. 716a al. 1 CO, soit l'exercice de la haute surveillance sur les personnes chargées de la gestion, pour s'assurer notamment que celles-ci observent la loi, les règlements et les instructions données. À supposer que, comme elle le prétend, la recourante ait été mise à l’écart de l’administration de la société et n’ait ainsi pas été en mesure d’exercer son devoir de surveillance, elle aurait dû démissionner de ses fonctions. Force est de constater qu’elle ne l’a jamais fait ni n’a manifesté de volonté en ce sens, puisqu’elle allègue avoir été « licenciée » lors d’une assemblée générale intervenue le 19 octobre 2010. On relèvera au demeurant que pendant la durée de son inscription au registre du commerce, elle n’a jamais pris contact avec l’intimée pour s’assurer que les cotisations sociales étaient régulièrement versées. Eu égard à la jurisprudence claire du Tribunal fédéral, la chambre de céans considère que la recourante a violé son devoir de diligence et que son inaction constitue une négligence grave au sens de l'art. 52 LAVS.</w:t>
      </w:r>
    </w:p>
    <w:p>
      <w:r>
        <w:rPr>
          <w:b/>
        </w:rPr>
        <w:t>E. 9</w:t>
      </w:r>
    </w:p>
    <w:p>
      <w:r>
        <w:t>En tant qu’elle fait valoir que l’appelé en cause lui aurait caché la situation financière de la société, l’argumentation de la recourante tend à nier tout lien de causalité entre son comportement et le dommage. a. La responsabilité de l'employeur au sens de l'art. 52 LAVS suppose en dernier lieu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w:t>
      </w:r>
    </w:p>
    <w:p>
      <w:r>
        <w:t>A/496/2014 - 14/18 -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b. Cette condition fait en l'espèce défaut. En effet, on peut admettre que le dommage ne serait pas survenu, ou ne serait survenu que dans une moindre mesure, si la recourante avait respecté son devoir de surveillance. À cet égard, si cette dernière s’était souciée de la marche des affaires, elle aurait veillé dès le début au paiement des cotisations aux assurances sociales, ce d’autant plus que le compte de pertes et profits 2007 de E______ SA, qu’elle a signé, faisait déjà apparaître une perte qui permettait de présager des difficultés de la société à payer ses charges sociales. Le comportement de l’appelé en cause ne la dispensait pas d’exercer ce devoir et ne saurait dès lors être considéré comme propre à rompre le lien de causalité entre la négligence de celle-ci et le dommage. Enfin, la chambre de céans estime que le dossier, en particulier le relevé téléphonique de l’intimée et le procès- verbal d’assemblée générale du 19 octobre 2010, ne démontrent pas que la recourante ait été trompée par des manœuvres fallacieuses, par exemple par la présentation de comptes falsifiés (arrêt du Tribunal fédéral H 319/99 du 25 juillet 2000). Certes, cette dernière a déclaré en audience qu’elle s’était enquise du paiement des charges de la société, ce à quoi M. B______ lui aurait répondu qu’il n’y avait « aucun problème ». Cela étant, cette allégation est sujette à caution, dans la mesure où elles n’est démontrée par aucune pièce et que le récit de la recourante n’apparaît au demeurant pas dénué de contradictions. À titre d’exemple, celle-ci a déclaré dans son opposition n’avoir « jamais eu aucun accès aux informations de E______ SA » ni reçu de cette société « un seul centime », alors qu’elle a signé ses bilans et comptes de pertes et profits en 2006 et 2007 et que l’attestation de salaires destinée à l’AVS fait état d’un revenu de CHF 18'000.– en 2007. Partant, le moyen tiré de la rupture du lien de causalité apparaît infondé.</w:t>
      </w:r>
    </w:p>
    <w:p>
      <w:r>
        <w:rPr>
          <w:b/>
        </w:rPr>
        <w:t>E. 10</w:t>
      </w:r>
    </w:p>
    <w:p>
      <w:r>
        <w:t>Enfin, la recourante reproche à l’intimée d’avoir octroyé irrégulièrement de nombreux sursis au paiement à l’appelé en cause, ce qui aurait conduit à l’aggravation du dommage. Il reste ainsi à examiner la question d’une éventuelle réduction du dommage pour faute concomitante. a. Le Tribunal fédéral a constaté que le droit de l'AVS ne contient aucune disposition permettant de savoir s'il y a lieu d'admettre des motifs de réduction dans le cadre de la responsabilité de l'employeur telle qu'elle ressort de l’art. 52 LAVS et</w:t>
      </w:r>
    </w:p>
    <w:p>
      <w:r>
        <w:t>A/496/2014 - 15/18 -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(Pratique VSI 1996 consid. 3b p. 312).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(ATF 122 V 189 consid 3c; Pratique VSI 1996 consid. 3c p. 314). La jurisprudence précise que des omissions, procédant d'une violation de ses obligations par la caisse de compensation (l'absence de démarches d'encaissement des cotisations par exemple, cf. art. 63 al. 1 let. d LAVS, 34b RAVS, en vigueur dès le 1er janvier 2001) sont parfaitement de nature à créer un dommage ou à l'aggraver (Pratique VSI 1996 consid. 4, p. 314). Constitue par exemple un motif de réduction l’octroi irrégulier d’un sursis au paiement (ATFA H 137/98 du 27 juillet 1999). b. A teneur de l’art. 34b RAVS, si un débiteur de cotisations rend vraisemblable qu’il se trouve dans des difficultés financières et qu’il s’engage à verser des acomptes réguliers et opère immédiatement le premier versement, la caisse peut accorder un sursis, pour autant qu’elle ait des raisons fondées d’admettre que les acomptes et cotisations courantes pourront être versés ponctuellement. c. En l’espèce, l’intimée a consenti le 27 février 2009 à un premier arrangement de paiement relatif au bouclement des acomptes 2008, annulé en juin 2009 car seule la première mensualité avait été payée. Une poursuite a été entreprise pour cette créance le 21 août 2009. Les 7 avril et 12 juillet 2010, l’intimée a adressé à la</w:t>
      </w:r>
    </w:p>
    <w:p>
      <w:r>
        <w:t>A/496/2014 - 16/18 - société, respectivement à ses organes, une menace de dénonciation pénale les invitant à lui faire une proposition d’amortissement et lui adresser la déclaration de salaires 2009. Le montant des arriérés de cotisations s’élevait alors à CHF 10'436.40. En juillet 2010, des paiements ont été effectués auprès de l’office des poursuites à hauteur de CHF 8'421.25 au total (cf. extrait de compte du 1er janvier 2009 au 3 décembre 2012). Le 2 septembre 2010, l’intimée a invité la société à lui verser le solde de cotisations de CHF 35'109.40 ou à lui faire une proposition de paiement. Le 22 septembre 2010, elle lui a accordé un sursis au paiement portant sur la part pénale et une première mensualité a été versée, mais l’arrangement a été annulé en février 2011, suite à la faillite. Le 14 décembre 2010, l’intimée a refusé une nouvelle proposition d’arrangement mais a formulé une contre-proposition à laquelle la société n’a pas donné suite. Postérieurement à la faillite intervenue le 27 janvier 2011, l’intimée a octroyé à l’appelé en cause de nouveaux sursis en mars 2011, février et octobre 2012. Il résulte de l’exposé qui précède que seuls deux sursis au paiement ont été octroyés avant le prononcé de la faillite. On ne saurait reprocher à l’intimée d’avoir accordé un premier sursis en février 2009 alors que les difficultés de la société pour régler ses cotisations sociales étaient récemment survenues et qu’aucun élément ne permettait alors de suspecter que l’arrangement ne serait pas respecté. S’agissant du deuxième sursis octroyé en septembre 2010, il est intervenu seulement deux mois après que des sommes importantes aient été payées à l’office des poursuites en remboursement de la dette de cotisations. Compte tenu de ces versements, l’intimée disposait de raisons fondées d’admettre que les acomptes et cotisations courantes pourraient être versées ponctuellement. Partant, les sursis de février 2009 et septembre 2010 n’ont pas été octroyés irrégulièrement, étant précisé que dans les deux cas, le premier acompte a été versé, comme l’exige l’art. 34b RAVS. Les sursis accordés postérieurement au prononcé de la faillite ne prêtent pas non plus le flanc à la critique. Après la faillite, le dommage était en effet déjà survenu et des arrangements de paiement subséquents ne pouvaient pas l’aggraver. Au contraire, ceux-ci ont permis à l’intimée de récupérer une partie des arriérés de cotisations dus, comme le démontre l’extrait de compte du figurant au dossier (cf. extrait de compte du 1er janvier 2009 au 3 décembre 2012, pièce 15 du dossier de l’intimée). C’est également à tort que la recourante reproche à l’intimée de ne pas avoir engagé de poursuites contre la société, cette affirmation étant clairement démentie par l’extrait de compte de l’intimée pour la période du 1er janvier 2009 au 3 décembre 2012. d. Enfin, on ne saurait suivre la recourante lorsqu’elle fait grief à l’intimée de ne pas s’être adressée à un quelconque administrateur entre 2010 et 2012. Entendue lors de l’audience de comparution personnelle, elle a en effet confirmé qu’elle avait reçu la menace de dénonciation pénale qui lui avait été adressée le 12 juillet 2010. Par surabondance, on rappellera que selon la jurisprudence, une caisse de</w:t>
      </w:r>
    </w:p>
    <w:p>
      <w:r>
        <w:t>A/496/2014 - 17/18 - compensation n'est pas tenue de rendre les organes de la société personnellement attentifs à un accroissement des cotisations en souffrance dès lors que le devoir de diligence qui leur incombe en matière de décomptes et de paiement des cotisations fait l'objet d'une réglementation claire censée être connue (ATF non publié 9C_48/2010 du 9 juin 2010, consid. 4.2.1). Partant, la chambre de céans estime que l’intimée n’a pas commis de faute grave, concomitante à celle de la recourante, de sorte qu’il ne se justifie pas de réduire le montant du dommage.</w:t>
      </w:r>
    </w:p>
    <w:p>
      <w:r>
        <w:rPr>
          <w:b/>
        </w:rPr>
        <w:t>E. 11</w:t>
      </w:r>
    </w:p>
    <w:p>
      <w:r>
        <w:t>Aussi, le recours, mal fondé, doit-il être rejeté.</w:t>
      </w:r>
    </w:p>
    <w:p>
      <w:r>
        <w:t>A/496/2014 - 18/18 -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