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ATAS/1347/2014 vom 23. Dezember 2014</w:t>
      </w:r>
    </w:p>
    <w:p>
      <w:r>
        <w:t>GE Cour de justice, 2014-12-23, FR</w:t>
      </w:r>
    </w:p>
    <w:p>
      <w:r>
        <w:rPr>
          <w:b/>
        </w:rPr>
        <w:t xml:space="preserve">Quelle: </w:t>
      </w:r>
      <w:r>
        <w:t>https://mcp.opencaselaw.ch/entscheid/ge_gerichte_ATAS_1347_2014</w:t>
      </w:r>
    </w:p>
    <w:p>
      <w:r>
        <w:t>FR: GE_GERICHTE ATAS/1347/2014 du 23 décembre 2014</w:t>
      </w:r>
    </w:p>
    <w:p>
      <w:r>
        <w:t>IT: GE_GERICHTE ATAS/1347/2014 del 23 dicembre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S’agissant des prestations complémentaire cantonales, l’art. 43 de la loi sur les prestations cantonales complémentaires à l’assurance-vieillesse et survivants et à l’assurance-invalidité, du 25 octobre 1968 (LPCC ; RSG J 7 15) ouvre les mêmes voies de droit.</w:t>
      </w:r>
    </w:p>
    <w:p>
      <w:r>
        <w:rPr>
          <w:b/>
        </w:rPr>
        <w:t>E. 3</w:t>
      </w:r>
    </w:p>
    <w:p>
      <w:r>
        <w:t>Interjeté dans les forme et délai légaux, le recours est recevable.</w:t>
      </w:r>
    </w:p>
    <w:p>
      <w:r>
        <w:rPr>
          <w:b/>
        </w:rPr>
        <w:t>E. 4</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5</w:t>
      </w:r>
    </w:p>
    <w:p>
      <w:r>
        <w:t>Le litige porte sur l'intégration dans le calcul des prestations complémentaires d'un gain hypothétique de l'épouse du recourant dès le 1er septembre 2013.</w:t>
      </w:r>
    </w:p>
    <w:p>
      <w:r>
        <w:rPr>
          <w:b/>
        </w:rPr>
        <w:t>E. 6</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dans sa teneur dès le 1er janvier 2011 comprennent notamment deux tiers des ressources en espèces ou en nature provenant de l’exercice d’une activité lucrative, pour autant qu’elles excèdent annuellement 1000 francs pour les personnes seules et 1500 francs pour les couples</w:t>
      </w:r>
    </w:p>
    <w:p>
      <w:r>
        <w:t>A/461/2014 - 9/13 - et les personnes qui ont des enfants ayant droit à une rente d’orphelin ou donnant droit à une rente pour enfant de l’AVS ou de l’AI, le produit de la fortune mobilière et immobilière ainsi que les rentes, pensions et autres prestations périodiques, y compris les rentes de l'AVS et de l'AI (art. 11 al. 1 let. a,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du Code civil (CC; RS 210) (ATF 8C_68/2007 du 14 mars 2008, consid. 5.1). Dans sa teneur en force jusqu'au 31 décembre 2008, l'art. 11 al. 1 let. C LPC retenait à titre de revenu le quinzième de la fortune nette dépassant 40'000 fr. des bénéficiaires de rentes de l'assurance- invalidité.</w:t>
      </w:r>
    </w:p>
    <w:p>
      <w:r>
        <w:rPr>
          <w:b/>
        </w:rPr>
        <w:t>E. 7</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8</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(ATF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w:t>
      </w:r>
    </w:p>
    <w:p>
      <w:r>
        <w:t>A/461/2014 - 10/13 - autres motifs qui empêcheraient celui-ci de pourvoir lui-même à son entretien (ATF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9C_240/2010 du 3 septembre 2010, consid. 4.1).</w:t>
      </w:r>
    </w:p>
    <w:p>
      <w:r>
        <w:rPr>
          <w:b/>
        </w:rPr>
        <w:t>E. 9</w:t>
      </w:r>
    </w:p>
    <w:p>
      <w:r>
        <w:t>En ce qui concerne le critère de la mise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 du 8 octobre 2002). Selon les directives concernant les prestations complémentaires à l’AVS et à l’AI de l’office fédéral des assurances sociales dans leur version en vigueur en 2012 (DPC), aucun revenu hypothétique n’est pris en compte si le conjoint non invalide peut faire valoir l’une ou l’autre des conditions suivantes: malgré tous ses efforts, il ne trouve aucun emploi. Cette hypothèse peut être considérée comme réalisée lorsqu’il s’est adressé à un office régional de placement (ORP) et prouve que ses recherches d’emploi sont suffisantes qualitativement et quantitativement; lorsqu’il touche des allocations de chômage (ch. 3482.03).</w:t>
      </w:r>
    </w:p>
    <w:p>
      <w:r>
        <w:rPr>
          <w:b/>
        </w:rPr>
        <w:t>E. 10</w:t>
      </w:r>
    </w:p>
    <w:p>
      <w:r>
        <w:t>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w:t>
      </w:r>
    </w:p>
    <w:p>
      <w:r>
        <w:t>A/461/2014 - 11/13 - vie professionnelle (ATF 8C_440/2008 du 6 février 2009, consid. 3; ATF 134 V 53, consid. 4.1).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w:t>
      </w:r>
    </w:p>
    <w:p>
      <w:r>
        <w:rPr>
          <w:b/>
        </w:rPr>
        <w:t>E. 11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12</w:t>
      </w:r>
    </w:p>
    <w:p>
      <w:r>
        <w:t>En l’espèce, l’assuré allègue que son épouse souffre d’un trouble dépressif, en raison duquel la Dresse C______ a considéré qu’elle était incapable de travailler à 100% depuis avril 2013 et à 50% depuis mai 2014. Il en conclut qu’aucun gain potentiel ne doit être retenu pour son épouse, jusqu’en mai 2014, en raison de son incapacité entière de travail, et dès mai 2014, parce qu’elle s’est alors efforcée de trouver un emploi.</w:t>
      </w:r>
    </w:p>
    <w:p>
      <w:r>
        <w:rPr>
          <w:b/>
        </w:rPr>
        <w:t>E. 13</w:t>
      </w:r>
    </w:p>
    <w:p>
      <w:r>
        <w:t>S’agissant de l’état de santé, il est vrai que la Dresse C______ a établi trois certificats les 21 mai et 28 novembre 2013, ainsi que le 11 février 2014, attestant d’une incapacité entière de travailler. La chambre de céans relève toutefois que lorsque l’épouse de l’assuré est venue consulter la Dresse C______ le 18 avril 2013, c'était parce qu'elle souffrait d'irritabilité et d'anxiété, que lorsqu'elle est revenue de Macédoine en octobre 2013, le diagnostic posé était celui d’un trouble dépressif léger, pour lequel aucun</w:t>
      </w:r>
    </w:p>
    <w:p>
      <w:r>
        <w:t>A/461/2014 - 12/13 - traitement médicamenteux ne lui a été prescrit, qu’au surplus elle n’a consulté aucun psychiatre pendant son séjour en Macédoine, lequel a duré environ six mois. On peine à comprendre qu'elle ne puisse dans ces conditions surmonter les effets de ce trouble dépressif léger par un effort raisonnablement exigible. Force est également de constater que, selon la Dresse C______, l'épouse de l'assuré présentait quelques jours avant l'audience du 30 septembre 2014 à nouveau de l'irritabilité et de l’anxiété, "affirmant ne pas se sentir capable de reprendre un travail en raison de maux psychosomatiques (maux de tête, évanouissements)" (cf PV audition Dresse C______). Le médecin a indiqué d'une part qu'il n'avait pas constaté ces maux en cabinet et d'autre part qu’il serait mieux pour la patiente de reprendre un travail. Ainsi, pour les mêmes maux, le médecin atteste d'une incapacité entière de travail d'avril à mai 2013 et de 50% depuis. On ne saurait dès lors tenir pour établi, au degré de vraisemblance requis par la jurisprudence, une capacité de travail nulle, voire de 50%.</w:t>
      </w:r>
    </w:p>
    <w:p>
      <w:r>
        <w:rPr>
          <w:b/>
        </w:rPr>
        <w:t>E. 14</w:t>
      </w:r>
    </w:p>
    <w:p>
      <w:r>
        <w:t>S’agissant des offres d’emploi, il y a lieu de constater que l’épouse de l’assuré a démontré avoir effectué de janvier à septembre 2014, neuf offres d’emploi pour lesquelles elle a reçu des réponses écrites négatives. Ce nombre de neuf sur une durée de neuf mois est manifestement insuffisant pour justifier d’une véritable volonté de rechercher un emploi. A cet égard et à titre de comparaison, la chambre de céans rappelle qu’en matière d’assurance-chômage, les assurés sont tenus d’effectuer de quatre à dix offres d’emploi par mois.</w:t>
      </w:r>
    </w:p>
    <w:p>
      <w:r>
        <w:rPr>
          <w:b/>
        </w:rPr>
        <w:t>E. 15</w:t>
      </w:r>
    </w:p>
    <w:p>
      <w:r>
        <w:t>La chambre de céans conclut, au vu de ce qui précède, à la prise en considération d’un gain potentiel dans le calcul des prestations complémentaires dues à l’assuré, sur la base d’un taux d’activité de 100%, à compter du 1er septembre 2013. Aussi le recours est-il rejeté.</w:t>
      </w:r>
    </w:p>
    <w:p>
      <w:r>
        <w:t>A/461/2014 - 13/13 -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