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ATAS/1345/2014 vom 22. Dezember 2014</w:t>
      </w:r>
    </w:p>
    <w:p>
      <w:r>
        <w:t>GE Cour de justice, 2014-12-22, FR</w:t>
      </w:r>
    </w:p>
    <w:p>
      <w:r>
        <w:rPr>
          <w:b/>
        </w:rPr>
        <w:t xml:space="preserve">Quelle: </w:t>
      </w:r>
      <w:r>
        <w:t>https://mcp.opencaselaw.ch/entscheid/ge_gerichte_ATAS_1345_2014</w:t>
      </w:r>
    </w:p>
    <w:p>
      <w:r>
        <w:t>FR: GE_GERICHTE ATAS/1345/2014 du 22 décembre 2014</w:t>
      </w:r>
    </w:p>
    <w:p>
      <w:r>
        <w:t>IT: GE_GERICHTE ATAS/1345/2014 del 22 dicembre 2014</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w:t>
      </w:r>
    </w:p>
    <w:p>
      <w:r>
        <w:t>A/2923/2013 - 14/26 -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et 38 al. 1 et 4 let. b LPGA).</w:t>
      </w:r>
    </w:p>
    <w:p>
      <w:r>
        <w:rPr>
          <w:b/>
        </w:rPr>
        <w:t>E. 4.1</w:t>
      </w:r>
    </w:p>
    <w:p>
      <w:r>
        <w:t>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t>A/2923/2013 - 20/26 -</w:t>
      </w:r>
    </w:p>
    <w:p>
      <w:r>
        <w:rPr>
          <w:b/>
        </w:rPr>
        <w:t>E. 4.2</w:t>
      </w:r>
    </w:p>
    <w:p>
      <w:r>
        <w:t>;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t>A/2923/2013 - 17/26 -</w:t>
      </w:r>
    </w:p>
    <w:p>
      <w:r>
        <w:rPr>
          <w:b/>
        </w:rPr>
        <w:t>E. 5</w:t>
      </w:r>
    </w:p>
    <w:p>
      <w:r>
        <w:t>Le litige porte sur la question du degré d’invalidité à reconnaître à la recourante.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w:t>
      </w:r>
    </w:p>
    <w:p>
      <w:r>
        <w:t>A/2923/2013 - 15/26 -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 RCC 1992 p. 136 consid. 1b). La part des travaux habituels constitue le reste du pourcentage (ATF 130 V 393 consid. 3.3 et ATF 104 V 136 consid. 2a).</w:t>
      </w:r>
    </w:p>
    <w:p>
      <w:r>
        <w:t>A/2923/2013 - 16/26 -</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En l’espèce, l’intimé considère que, sans atteinte à sa santé, la recourante aurait exercé son activité professionnelle à 80%, consacrant le reste de son temps - soit 20% - à la tenue de son ménage. Il se fonde pour cela sur le taux d’activité contractuel de la recourante avant l’atteinte à sa santé et sur ses déclarations lors de l’enquête ménagère. Compte tenu des éléments qui figurent au dossier, il est établi que la recourante a travaillé par choix à 80% en qualité d’infirmière et qu’elle aurait continué à ce taux si son état de santé le lui avait permis. Le statut mixte qui lui a été reconnu par l’intimé doit par conséquent être confirmé à raison de 80% pour l’activité professionnelle et de 20% pour la tenue du ménage. Au demeurant, ni ce statut, ni les constatations et conclusions de l’enquête économique sur le ménage ne sont contestés. Reste à examiner l’éventuel droit aux prestations de la recourante jusqu’au 31 décembre 2011, du 1er janvier au 31 juillet 2012 et dès le 1er août 2012, à la lumière de son degré d’invalidité compte tenu des rapports médicaux figurant au dossier.</w:t>
      </w:r>
    </w:p>
    <w:p>
      <w:r>
        <w:rPr>
          <w:b/>
        </w:rPr>
        <w:t>E. 12</w:t>
      </w:r>
    </w:p>
    <w:p>
      <w:r>
        <w:t>Comme indiqué précédemment,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A/2923/2013 - 18/26 -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w:t>
      </w:r>
    </w:p>
    <w:p>
      <w:r>
        <w:t>A/2923/2013 - 19/26 -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13</w:t>
      </w:r>
    </w:p>
    <w:p>
      <w:r>
        <w:t>En l’espèce, l’intimé admet que la capacité de travail de la recourante était nulle dans toute activité d’août 2010 au moins à décembre 2011, ce qui ouvrait droit, selon lui, à un trois-quarts de rente dès le 1er août 2011, soit à l’issue du délai d’attente d’une année prévu par l’art. 28 al. 1 let. b et c LAI. Les rapports médicaux figurant au dossier confirment l’incapacité totale de travailler de la recourante depuis le mois d’août 2010 jusqu’au 31 décembre 2011, ce que la recourante ne conteste pas. Cela étant, l’octroi à la recourante d’un trois-quarts de rente pour la période du 1er août au 31 décembre 2011 est erroné. En effet, il convient de rappeler qu’a été reconnu à l’assurée un statut mixte, puisqu’elle travaillait à 80% avant l’atteinte à sa santé. Dans la mesure où son incapacité de travailler était totale dans toute activité, son degré d’invalidité se confondait alors avec son taux d’incapacité de travail et s’élevait par conséquent à 80%. A ce degré d’invalidité de 80% dans la sphère professionnelle s’ajoutait un empêchement de 8% dans la tenue du ménage, conduisant à un degré d’invalidité global de 88% durant cette période, ce qui, à teneur de l’art. 28 al. 2 LAI, ouvrait droit à une rente entière d’invalidité. C’est par conséquent une rente entière d’invalidité qui aurait dû être versée à la recourante du 1er août 2011 au 31 décembre 2011. Sur ce point, il y a lieu de modifier la décision litigieuse et de renvoyer la cause à l’intimé afin qu’il procède au calcul des prestations dues. Reste à déterminer si l’état de la recourante s’est amélioré à compter du 1er janvier 2012, puis du 1er août 2012, et, cas échéant, si ces améliorations ont eu une influence sur le droit aux prestations.</w:t>
      </w:r>
    </w:p>
    <w:p>
      <w:r>
        <w:rPr>
          <w:b/>
        </w:rPr>
        <w:t>E. 14</w:t>
      </w:r>
    </w:p>
    <w:p>
      <w:r>
        <w:t>C’est le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15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A/2923/2013 - 21/26 -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16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A/2923/2013 - 22/26 -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17</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w:t>
      </w:r>
    </w:p>
    <w:p>
      <w:r>
        <w:t>A/2923/2013 - 23/26 - 2001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18</w:t>
      </w:r>
    </w:p>
    <w:p>
      <w:r>
        <w:t>En l’espèce, l’intimé estime que l’état de santé de la recourante s’est amélioré en 2012 et conclut à un degré d’invalidité de 60% dès le 1er janvier 2012 et de 43% dès le 1er août 2012, ouvrant droit respectivement à un trois-quarts de rente et à un quart de rente. Il se fonde sur les avis des médecins du SMR, eux-mêmes basés sur les rapports des Drs D______, J______ et F______ et sur l’expertise de la Dresse K______. La recourante conteste quant à elle toute amélioration de son état de santé en août 2012 et invoque à l’appui de sa position les rapports des Drs D______, E______ et J______ et leurs observations quant au caractère invalidant de sa cheville droite, du syndrome de Sjögren et de son état psychique. Elle ne conteste en revanche pas une amélioration de son état de santé à compter du 1er janvier 2012. En l’état du dossier, une amélioration de l’état de santé de la recourante apparaît plausible, notamment sous l’aspect psychique, aux dates retenues par l’intimé. Toutefois, trop d’incertitudes demeurent pour que telle amélioration, justifiant une diminution de rente, puisse être retenue au degré de la vraisemblance prépondérante. A l’inverse, rien ne permet d’admettre, contrairement à ce que soutient la recourante, que son état de santé ne s’est pas modifié. En effet, il apparaît qu’en dehors du Dr E______, médecin traitant de la recourante, aucun médecin n’a véritablement abordé les conséquences concrètes du syndrome de Sjögren sur sa capacité de travail. En ce qui concerne la cheville de la recourante, si une évolution favorable peut être incontestablement déduite des rapports des Drs D______ et F______, aucun élément récent ne permet de savoir si cette atteinte influence la capacité de travail de l’assurée et dans quelle mesure. Cela est d’autant plus vrai que l’analyse du cas par le Dr F______ est intervenue avant une complète stabilisation de l’état de la cheville blessée. S’ajoute à cela que les éléments permettant à l’intimé de parvenir à la conclusion que l’état de santé de la recourante s’est amélioré dans son ensemble à compter du mois d’août 2012 sont minces. En effet, si cette amélioration générale ne peut être exclue, le simple fait que la recourante ait évoqué une diminution des symptômes, semble-t-il temporaire, du syndrome de Sjögren lors de l’expertise de la Dresse K______ ne saurait suffire, au regard de la jurisprudence, à tenir cette amélioration pour vraisemblable, sans une instruction plus poussée.</w:t>
      </w:r>
    </w:p>
    <w:p>
      <w:r>
        <w:t>A/2923/2013 - 24/26 - Par ailleurs, il est admis et non contesté que les atteintes à la santé de la recourante sont de nature ostéo-articulaire, immunologique et psychiatrique. Les différents médecins consultés individuellement dans le cadre de l’instruction évoquent à plusieurs reprises d’éventuels liens entre ces différentes atteintes, à tout le moins entre certaines d’entre elles. Si chaque atteinte prise séparément peut sembler légère, leur accumulation et leurs influences mutuelles peuvent engendrer des limitations fonctionnelles plus importantes et limiter la capacité de travail. Or, aucune expertise pluridisciplinaire n’a été ordonnée par l’intimé, de sorte que l’on ignore si les atteintes précitées sont liées et dans quelle mesure elles influencent la capacité de travail de la recourante. Par conséquent, il apparaît impossible, en l’état du dossier de confirmer les améliorations survenues et, surtout, leurs conséquences en termes de capacité de gain depuis le 1er janvier 2012. Une instruction complémentaire s’avère nécessaire afin de déterminer plus précisément comment ont évolué l’état de santé de la recourante, ses limitations fonctionnelles et sa capacité de travail dans son activité habituelle, dans son activité d’infirmière scolaire et dans toute activité adaptée à son état de santé depuis le 1er janvier 2012. Pour ce faire, il appartiendra à l’intimé de mettre en œuvre une expertise pluridisciplinaire couvrant les volets ostéo-articulaire (cheville), immunologique (syndrome de Sjögren) et psychiatrique, puis de rendre une nouvelle décision fixant le degré d’invalidité de la recourante à compter du 1er janvier 2012, se prononçant sur son droit éventuel à une rente et sur l’opportunité de mettre en œuvre des mesures d'ordre professionnel. Ce faisant, l’intimé tiendra compte, dans le calcul du revenu avec invalidité, du fait qu’à compter du mois d’août 2012, la recourante a trouvé un emploi d’infirmière scolaire. Dès lors, il conviendra de se référer, pour la période ultérieure, au revenu qu’elle réalise effectivement - et non aux statistiques -, pour autant que l’intimé parvienne à la conclusion que la recourante exploite pleinement sa capacité résiduelle de travail.</w:t>
      </w:r>
    </w:p>
    <w:p>
      <w:r>
        <w:rPr>
          <w:b/>
        </w:rPr>
        <w:t>E. 19</w:t>
      </w:r>
    </w:p>
    <w:p>
      <w:r>
        <w:t>Au vu de ce qui précède, le recours sera admis partiellement, la décision du 17 juillet 2013 annulée. Il est constaté que la recourante a droit à une rente entière d’invalidité à compter du 1er août 2011. Pour le reste, la cause renvoyée à l’intimé pour instruction complémentaire et nouvelle décision dans le sens des considérants s’agissant de la période débutant le 1er janvier 2012.</w:t>
      </w:r>
    </w:p>
    <w:p>
      <w:r>
        <w:rPr>
          <w:b/>
        </w:rPr>
        <w:t>E. 20</w:t>
      </w:r>
    </w:p>
    <w:p>
      <w:r>
        <w:t>Le recourant qui obtient gain de cause se voit accorder une indemnité à titre de participation à ses frais et dépens (art. 61 let. g LPGA en corrélation avec l’art. 89H al. 3 de la loi sur la procédure administrative du 12 septembre 1985 [E 5 10 – LPA]). Lorsque la cause est renvoyée à l’administration pour instruction complémentaire et nouvelle décision, la partie qui a formé recours est réputée avoir obtenu gain de</w:t>
      </w:r>
    </w:p>
    <w:p>
      <w:r>
        <w:t>A/2923/2013 - 25/26 - cause (Arrêt du Tribunal administratif fédéral C-6082/2013 du 16 avril 2014 consid. 6 ; ATF 132 V 215 consid. 6.2). A teneur de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CHF 200.- à CHF 10'000.-. En l’occurrence, cette indemnité sera fixée à CHF 3'000.-.</w:t>
      </w:r>
    </w:p>
    <w:p>
      <w:r>
        <w:rPr>
          <w:b/>
        </w:rPr>
        <w:t>E. 21</w:t>
      </w:r>
    </w:p>
    <w:p>
      <w:r>
        <w:t>Pour le surplus, étant donné que depuis le 1er juillet 2006, la procédure n'est plus gratuite (art. 69 al. 1bis LAI), il y a lieu de condamner la recourante au paiement d'un émolument de CHF 200.-.</w:t>
      </w:r>
    </w:p>
    <w:p>
      <w:r>
        <w:t>A/2923/2013 - 26/26 -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