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ATAS/1342/2014 vom 23. Dezember 2014</w:t>
      </w:r>
    </w:p>
    <w:p>
      <w:r>
        <w:t>GE Cour de justice, 2014-12-23, FR</w:t>
      </w:r>
    </w:p>
    <w:p>
      <w:r>
        <w:rPr>
          <w:b/>
        </w:rPr>
        <w:t xml:space="preserve">Quelle: </w:t>
      </w:r>
      <w:r>
        <w:t>https://mcp.opencaselaw.ch/entscheid/ge_gerichte_ATAS_1342_2014</w:t>
      </w:r>
    </w:p>
    <w:p>
      <w:r>
        <w:t>FR: GE_GERICHTE ATAS/1342/2014 du 23 décembre 2014</w:t>
      </w:r>
    </w:p>
    <w:p>
      <w:r>
        <w:t>IT: GE_GERICHTE ATAS/1342/2014 del 23 dicembre 2014</w:t>
      </w:r>
    </w:p>
    <w:p>
      <w:pPr>
        <w:pStyle w:val="Heading2"/>
      </w:pPr>
      <w:r>
        <w:t>Erwägungen</w:t>
      </w:r>
    </w:p>
    <w:p>
      <w:r>
        <w:rPr>
          <w:b/>
        </w:rPr>
        <w:t>E. 1</w:t>
      </w:r>
    </w:p>
    <w:p>
      <w:r>
        <w:t>Conformément à l'art. 134 al. 1 let. a ch. 2 de la loi sur l'organisation judiciaire, du 26 septembre 2010 (LOJ - E 2 05) en vigueur dès le 1er janvier 2011, la chambre</w:t>
      </w:r>
    </w:p>
    <w:p>
      <w:r>
        <w:t>A/871/2014 - 9/17 -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4</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5</w:t>
      </w:r>
    </w:p>
    <w:p>
      <w:r>
        <w:t>Le délai de recours est de 30 jours (art. 60 al. 1 LPGA). Interjeté dans la forme et le délai prévus par la loi, le recours est recevable, en vertu des art. 56ss LPGA.</w:t>
      </w:r>
    </w:p>
    <w:p>
      <w:r>
        <w:rPr>
          <w:b/>
        </w:rPr>
        <w:t>E. 6</w:t>
      </w:r>
    </w:p>
    <w:p>
      <w:r>
        <w:t>Le litige porte sur le droit de l’assurée à une rente entière d’invalidité dès le 22 janvier 2010 et à une demi-rente dès le 1er janvier 2013, étant précisé que l’OAI a finalement admis le droit de l’assurée à une demi-rente du 1er avril 2010 au 31 mars 2011.</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w:t>
      </w:r>
    </w:p>
    <w:p>
      <w:r>
        <w:t>A/871/2014 - 10/17 - celle-ci n’est pas objectivement surmontable (al. 2 en vigueur dès le 1er janvier 2008).</w:t>
      </w:r>
    </w:p>
    <w:p>
      <w:r>
        <w:rPr>
          <w:b/>
        </w:rPr>
        <w:t>E. 8</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w:t>
      </w:r>
    </w:p>
    <w:p>
      <w:r>
        <w:rPr>
          <w:b/>
        </w:rPr>
        <w:t>E. 9</w:t>
      </w:r>
    </w:p>
    <w:p>
      <w:r>
        <w:t>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w:t>
      </w:r>
    </w:p>
    <w:p>
      <w:r>
        <w:t>A/871/2014 - 11/17 -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w:t>
      </w:r>
    </w:p>
    <w:p>
      <w:r>
        <w:rPr>
          <w:b/>
        </w:rPr>
        <w:t>E. 10</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w:t>
      </w:r>
    </w:p>
    <w:p>
      <w:r>
        <w:rPr>
          <w:b/>
        </w:rPr>
        <w:t>E. 11</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w:t>
      </w:r>
    </w:p>
    <w:p>
      <w:r>
        <w:t>A/871/2014 - 12/17 -</w:t>
      </w:r>
    </w:p>
    <w:p>
      <w:r>
        <w:rPr>
          <w:b/>
        </w:rPr>
        <w:t>E. 12</w:t>
      </w:r>
    </w:p>
    <w:p>
      <w:r>
        <w:t>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rPr>
          <w:b/>
        </w:rPr>
        <w:t>E. 13</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15</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16</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w:t>
      </w:r>
    </w:p>
    <w:p>
      <w:r>
        <w:t>A/871/2014 - 13/17 - 283 consid. 4a; RAMA 1985 p. 240 consid. 4; ATFA non publié I 751/03 du 19 mars 2004, consid. 3.3).</w:t>
      </w:r>
    </w:p>
    <w:p>
      <w:r>
        <w:rPr>
          <w:b/>
        </w:rPr>
        <w:t>E. 17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18</w:t>
      </w:r>
    </w:p>
    <w:p>
      <w:r>
        <w:t>En l'espèce, l’OAI a retenu que l’assurée aurait, en bonne santé, exercé une activité lucrative à 75% et aurait partant consacré la part restante, de 25%, aux tâches ménagères, ce que l'assurée ne conteste pas et qui a été confirmé par la chambre de céans dans son arrêt du 29 avril 2013. C'est dès lors à bon droit que l'OAI a fait application de la méthode mixte pour évaluer son invalidité.</w:t>
      </w:r>
    </w:p>
    <w:p>
      <w:r>
        <w:rPr>
          <w:b/>
        </w:rPr>
        <w:t>E. 19</w:t>
      </w:r>
    </w:p>
    <w:p>
      <w:r>
        <w:t>Il s’agit à ce stade de déterminer quelle est la capacité de travail de l’assurée. Dans son arrêt du 29 avril 2013, au considérant 11 let. e, la chambre de céans a conclu que la capacité de travail de l’assurée dans son activité habituelle avait évolué, « sur la base de ce qui précède », comme suit : - 0% du 22 janvier 2009 au 11 avril 2010 ; - 50 % du 12 avril 2010 au 9 décembre 2010 ; - 80 % du 10 décembre 2010 au 8 décembre 2011, étant précisé qu'elle a au préalable considéré qu’une expertise s'avérait superflue, par appréciation anticipée des preuves. Dans le dispositif de l’arrêt, elle a renvoyé la cause à l’OAI « pour instruction complémentaire au sens des considérants, calcul du degré d’invalidité et nouvelle décision ». Il y a lieu de constater que cet arrêt est entré en force de chose jugée, le TF ayant radié la cause de son rôle suite au retrait du recours, étant rappelé que l’autorité de la chose décidée ou jugée s’étend également aux motifs lorsque le dispositif y renvoie expressément et qu’ils se rapportent à la question litigieuse, ce qui est précisément le cas en l’espèce (Blaise KNAPP, Précis de droit administratif, quatrième édition, 1991, n° 1131, pp. 250 et 251 ; ATF 113 V 159/60). Il convient toutefois d'ajouter qu'en tant qu'il renvoie la cause à l'administration pour complément d'instruction, un jugement constitue une décision incidente au sens de l'art. 93 LTF (ATF 133 V 477 consid. 4.2 p. 481). Le recours contre une telle décision n'est recevable que si celle-ci peut causer un préjudice irréparable (al.</w:t>
      </w:r>
    </w:p>
    <w:p>
      <w:r>
        <w:t>A/871/2014 - 14/17 - 1 let. a) ou si l'admission du recours peut conduire immédiatement à une décision finale qui permet d'éviter une procédure probatoire longue et coûteuse (al. 1 let. b). Si le recours n'est pas recevable au regard de ces conditions ou s'il n'a pas été utilisé, la décision incidente peut être attaquée par un recours contre la décision finale dans la mesure où elle influe sur le contenu de celle-ci (al. 3). Un préjudice irréparable au sens de l'art. 93 al. 1 let. a LTF est un dommage de nature juridique qui ne peut pas être réparé ultérieurement par un jugement final ou une autre décision favorable au recourant (ATF 133 IV 139 consid. 4 p. 141, 288 consid. 3.1 p. 291). En revanche, un dommage de pur fait, comme la prolongation de la procédure ou un accroissement des frais de celle-ci, n'est pas considéré comme irréparable (ATF 131 I 57 consid. 1 p. 59 et les arrêts cités). Les décisions relatives à l'administration des preuves ne sont en principe pas de nature à causer aux intéressés un dommage juridique irréparable (ATF 133 V 477 consid. 5.2 p. 483), qu'il s'agisse de décisions refusant ou, comme en l'espèce, ordonnant la mise en oeuvre d'un moyen de preuve déterminé. En particulier, le fait que la décision de renvoi procéderait d'une constatation manifestement inexacte ou incomplète des faits pertinents - question que le Tribunal fédéral n'examine qu'avec retenue - ne saurait être constitutif d'un dommage qui ne pourrait plus être réparé en cours de procédure (arrêt 9C_446/2007 du 5 décembre 2007 consid. 2). L'ouverture du recours, prévue pour des motifs d'économie de procédure (art. 93 al. 1 let. b LTF), contre une décision incidente constitue une exception et doit être interprétée de manière restrictive, d'autant plus que les parties ne subissent aucun préjudice lorsqu'elles n'attaquent pas immédiatement de telles décisions, qu'elles peuvent contester en même temps que la décision finale (art. 93 al. 3 LTF). Le Tribunal fédéral examine librement le point de savoir si l'admission du recours permettrait d'éviter une procédure d'administration des preuves longue et coûteuse. Il appartient cependant au recourant d'établir que cette condition est réalisée, si celle-ci n'est pas manifeste; il doit en particulier indiquer de manière détaillée quelles questions de fait sont encore litigieuses, quelles preuves - déjà offertes ou requises - devraient encore être administrées et en quoi celles-ci entraîneraient une procédure probatoire longue et coûteuse (ATF 133 IV 288 consid. 3.2 p. 292). En particulier, le Tribunal fédéral a précisé que le renvoi de la cause à l'office AI pour instruction complémentaire et nouvelle décision ne se confondait en principe pas avec une procédure probatoire prenant un temps considérable et exigeant des frais importants (arrêt 9C_446/2007 du 5 décembre 2007 consid. 3 ; ATF 9C_976/2011). Il n'appartient quoi qu’il en soit pas à la chambre de céans de déterminer, dans le cadre du présent litige, si le TF serait ou non entré en matière sur le recours qui aurait été par hypothèse déposé contre l'arrêt du 29 avril 2013. Elle n’a au surplus pas à revenir sur les raisonnements qu’elle a tenus dans son arrêt du 29 avril 2013 pour établir l’évolution des taux d'incapacité de travail de l'assurée. Elle se bornera à rappeler qu’elle a dûment expliqué pour quelles raisons elle n’avait pas suivi les conclusions du Dr F______ du 10 décembre 2010 en tant</w:t>
      </w:r>
    </w:p>
    <w:p>
      <w:r>
        <w:t>A/871/2014 - 15/17 - que celles-ci se rapportaient à l’appréciation rétroactive de la capacité de travail de l’assurée, mais leur avait reconnu valeur probante s’agissant de l’évaluation de la capacité de travail à compter du 10 décembre 2010. C’est dès lors à juste titre que l’OAI s’est fondé sur les taux auxquels avait conclu la chambre de céans pour procéder au calcul du degré d'invalidité s'agissant de la part professionnelle.</w:t>
      </w:r>
    </w:p>
    <w:p>
      <w:r>
        <w:rPr>
          <w:b/>
        </w:rPr>
        <w:t>E. 20</w:t>
      </w:r>
    </w:p>
    <w:p>
      <w:r>
        <w:t>Reste à examiner si les documents médicaux produits par l’assurée dans le cadre de la procédure faisant suite à l’arrêt du 29 avril 2013 sont de nature à les modifier, soit le rapport du Dr G______ du 1er février 2012, et celui de la Dresse H______ du</w:t>
      </w:r>
    </w:p>
    <w:p>
      <w:r>
        <w:rPr>
          <w:b/>
        </w:rPr>
        <w:t>E. 21</w:t>
      </w:r>
    </w:p>
    <w:p>
      <w:r>
        <w:t>L’OAI a, en application de l’arrêt du 29 avril 2013, diligenté une enquête ménagère. Selon cette enquête réalisée le 27 août 2013 au domicile de l’assurée, celle-ci présente une incapacité à accomplir les tâches ménagères de 53,75% durant les deux premières années qui ont suivi l’accident, puis de 28%. L’enquêtrice a à cet égard expliqué qu’« une amie lui a donné un coup de main pour son fils il y a quelques temps, sinon l’assurée n’a pas de famille/proches sur lesquels se décharger. (…) Les empêchements dans la sphère ménagère sont élevés durant les deux premières années qui suivirent son accident, 53,75%. Ensuite, l’assurée a des empêchements plus modérés, 28% ». Il y a à cet égard lieu de rappeler qu’en principe, le juge n’intervient pas dans l’appréciation de l’auteur du rapport sauf lorsqu’il existe des erreurs d’estimation que l’on peut clairement constater ou des indices laissant apparaître une inexactitude dans les résultats de l’enquête. Or, en l’espèce, rien ne permet de dire</w:t>
      </w:r>
    </w:p>
    <w:p>
      <w:r>
        <w:t>A/871/2014 - 16/17 - que l’évaluation faite par l’enquêtrice serait erronée. Il convient au demeurant de relever qu’aucune exigibilité n’a été retenue pour une tierce personne. Il se justifie dès lors de confirmer les empêchements établis lors de l’enquête du 27 août 2013, soit celui de 53,75% de janvier 2009 à janvier 2011, puis celui de 28%.</w:t>
      </w:r>
    </w:p>
    <w:p>
      <w:r>
        <w:rPr>
          <w:b/>
        </w:rPr>
        <w:t>E. 22</w:t>
      </w:r>
    </w:p>
    <w:p>
      <w:r>
        <w:t>Le degré d’invalidité pour la part professionnelle a à juste titre été corrigé par l’OAI dans ses écritures du 16 avril 2014, en ce sens qu’il a dorénavant tenu compte d’une incapacité de travail de 50% sur un 75% et d’un revenu avec invalidité de CHF 32'332.- (au lieu de CHF 43'109.-), de sorte que la perte de gain est de 50%.</w:t>
      </w:r>
    </w:p>
    <w:p>
      <w:r>
        <w:rPr>
          <w:b/>
        </w:rPr>
        <w:t>E. 23</w:t>
      </w:r>
    </w:p>
    <w:p>
      <w:r>
        <w:t>Le taux d’invalidité doit, au vu de ce qui précède, être calculé sur la base d’un taux d’invalidité de 50% s’agissant de la part professionnelle et d’un taux d’empêchement à accomplir les tâches ménagères de 12%, ce qui donne un degré d’invalidité de 51%, ouvrant le droit à une demi-rente du 1er avril 2010 (soit six mois après le 14 octobre 2009, date à laquelle l’assurée a déposé sa demande de prestations AI : art. 29 LAI) au 31 mars 2011 (soit trois mois après le 9 décembre 2010, date jusqu’à laquelle elle présentait une incapacité de travail de 50% : art. 88a RAI). Aussi le recours est-il partiellement admis.</w:t>
      </w:r>
    </w:p>
    <w:p>
      <w:r>
        <w:t>A/871/2014 - 17/17 -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